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sdt>
      <w:sdtPr>
        <w:docPartObj>
          <w:docPartGallery w:val="Table of Contents"/>
          <w:docPartUnique/>
        </w:docPartObj>
      </w:sdtPr>
      <w:sdtContent>
        <w:p>
          <w:pPr>
            <w:pStyle w:val="TOCHeading"/>
          </w:pPr>
          <w:r>
            <w:t xml:space="preserve">Table of contents</w:t>
          </w:r>
        </w:p>
        <w:p>
          <w:r>
            <w:fldChar w:fldCharType="begin" w:dirty="true"/>
            <w:instrText xml:space="preserve">TOC \o "1-3" \h \z \u</w:instrText>
            <w:fldChar w:fldCharType="separate"/>
            <w:fldChar w:fldCharType="end"/>
          </w:r>
        </w:p>
      </w:sdtContent>
    </w:sdt>
    <w:bookmarkStart w:id="23" w:name="modernization-project-charter"/>
    <w:p>
      <w:pPr>
        <w:pStyle w:val="Heading1"/>
      </w:pPr>
      <w:r>
        <w:t xml:space="preserve">Modernization Project Charter</w:t>
      </w:r>
    </w:p>
    <w:bookmarkStart w:id="9" w:name="purpose"/>
    <w:p>
      <w:pPr>
        <w:pStyle w:val="Heading2"/>
      </w:pPr>
      <w:r>
        <w:t xml:space="preserve">1. Purpose</w:t>
      </w:r>
    </w:p>
    <w:p>
      <w:pPr>
        <w:pStyle w:val="FirstParagraph"/>
      </w:pPr>
      <w:r>
        <w:t xml:space="preserve">Establish a clear, executable modernization project that moves an organization from fragmented, legacy-dependent identity, policy, and addressing systems to a governed, attribute-driven hybrid-cloud operating model.</w:t>
      </w:r>
    </w:p>
    <w:p>
      <w:pPr>
        <w:pStyle w:val="BodyText"/>
      </w:pPr>
      <w:r>
        <w:t xml:space="preserve">The project restores a single authoritative origin for organizational structure and key claims, makes drift explicit and detectable, and enables controlled change without rip-and-replace disruption.</w:t>
      </w:r>
    </w:p>
    <w:bookmarkEnd w:id="9"/>
    <w:bookmarkStart w:id="10" w:name="problem-statement"/>
    <w:p>
      <w:pPr>
        <w:pStyle w:val="Heading2"/>
      </w:pPr>
      <w:r>
        <w:t xml:space="preserve">2. Problem Statement</w:t>
      </w:r>
    </w:p>
    <w:p>
      <w:pPr>
        <w:pStyle w:val="FirstParagraph"/>
      </w:pPr>
      <w:r>
        <w:t xml:space="preserve">Legacy directories (particularly hierarchical models such as Active Directory) have accumulated decades of implicit governance: organizational structure, delegation boundaries, policy inheritance, service dependencies, and authority chains are encoded in the directory itself rather than stated explicitly.</w:t>
      </w:r>
    </w:p>
    <w:p>
      <w:pPr>
        <w:pStyle w:val="BodyText"/>
      </w:pPr>
      <w:r>
        <w:t xml:space="preserve">When organizations move to cloud identity platforms, that structure is flattened. The governance model is not automatically preserved. At the same time, data and configuration have fragmented across many systems, creating multiple competing copies of the same facts and making it difficult to answer basic questions such as “which value is authoritative?”</w:t>
      </w:r>
    </w:p>
    <w:p>
      <w:pPr>
        <w:pStyle w:val="BodyText"/>
      </w:pPr>
      <w:r>
        <w:t xml:space="preserve">The result is:</w:t>
      </w:r>
      <w:r>
        <w:t xml:space="preserve"> </w:t>
      </w:r>
      <w:r>
        <w:t xml:space="preserve">- Migration risk concentrated in hidden dependencies (policy, addressing, service accounts, certificates, naming).</w:t>
      </w:r>
      <w:r>
        <w:t xml:space="preserve"> </w:t>
      </w:r>
      <w:r>
        <w:t xml:space="preserve">- Ongoing drift between intended and actual state.</w:t>
      </w:r>
      <w:r>
        <w:t xml:space="preserve"> </w:t>
      </w:r>
      <w:r>
        <w:t xml:space="preserve">- Difficulty producing reliable evidence of change and compliance.</w:t>
      </w:r>
      <w:r>
        <w:t xml:space="preserve"> </w:t>
      </w:r>
      <w:r>
        <w:t xml:space="preserve">- High reconciliation cost across fragmented stores.</w:t>
      </w:r>
    </w:p>
    <w:bookmarkEnd w:id="10"/>
    <w:bookmarkStart w:id="11" w:name="objectives"/>
    <w:p>
      <w:pPr>
        <w:pStyle w:val="Heading2"/>
      </w:pPr>
      <w:r>
        <w:t xml:space="preserve">3. Objectives</w:t>
      </w:r>
    </w:p>
    <w:p>
      <w:pPr>
        <w:pStyle w:val="Compact"/>
        <w:numPr>
          <w:ilvl w:val="0"/>
          <w:numId w:val="1001"/>
        </w:numPr>
      </w:pPr>
      <w:r>
        <w:t xml:space="preserve">Establish a single authoritative origin for organizational structure, identity attributes, and key operational claims. All other representations are derived and subordinate.</w:t>
      </w:r>
    </w:p>
    <w:p>
      <w:pPr>
        <w:pStyle w:val="Compact"/>
        <w:numPr>
          <w:ilvl w:val="0"/>
          <w:numId w:val="1001"/>
        </w:numPr>
      </w:pPr>
      <w:r>
        <w:t xml:space="preserve">Reconstruct organizational governance explicitly (attribute-driven structure, dynamic membership, scoped policy) rather than inheriting it from a hierarchical directory.</w:t>
      </w:r>
    </w:p>
    <w:p>
      <w:pPr>
        <w:pStyle w:val="Compact"/>
        <w:numPr>
          <w:ilvl w:val="0"/>
          <w:numId w:val="1001"/>
        </w:numPr>
      </w:pPr>
      <w:r>
        <w:t xml:space="preserve">Make drift between desired and observed state a first-class, classifiable finding rather than an exception or surprise.</w:t>
      </w:r>
    </w:p>
    <w:p>
      <w:pPr>
        <w:pStyle w:val="Compact"/>
        <w:numPr>
          <w:ilvl w:val="0"/>
          <w:numId w:val="1001"/>
        </w:numPr>
      </w:pPr>
      <w:r>
        <w:t xml:space="preserve">Execute modernization through controlled waves of change that originate from the authoritative source, execute under least privilege, and close with provenance and evidence.</w:t>
      </w:r>
    </w:p>
    <w:p>
      <w:pPr>
        <w:pStyle w:val="Compact"/>
        <w:numPr>
          <w:ilvl w:val="0"/>
          <w:numId w:val="1001"/>
        </w:numPr>
      </w:pPr>
      <w:r>
        <w:t xml:space="preserve">Deliver domain-specific transformations (identity, policy, services/addressing, compute/device, access plane) that can proceed without requiring a full rip-and-replace.</w:t>
      </w:r>
    </w:p>
    <w:p>
      <w:pPr>
        <w:pStyle w:val="Compact"/>
        <w:numPr>
          <w:ilvl w:val="0"/>
          <w:numId w:val="1001"/>
        </w:numPr>
      </w:pPr>
      <w:r>
        <w:t xml:space="preserve">Produce continuous, machine-usable evidence of state and change for operational and compliance needs.</w:t>
      </w:r>
    </w:p>
    <w:bookmarkEnd w:id="11"/>
    <w:bookmarkStart w:id="14" w:name="scope"/>
    <w:p>
      <w:pPr>
        <w:pStyle w:val="Heading2"/>
      </w:pPr>
      <w:r>
        <w:t xml:space="preserve">4. Scope</w:t>
      </w:r>
    </w:p>
    <w:bookmarkStart w:id="12" w:name="in-scope"/>
    <w:p>
      <w:pPr>
        <w:pStyle w:val="Heading3"/>
      </w:pPr>
      <w:r>
        <w:t xml:space="preserve">In Scope</w:t>
      </w:r>
    </w:p>
    <w:p>
      <w:pPr>
        <w:pStyle w:val="Compact"/>
        <w:numPr>
          <w:ilvl w:val="0"/>
          <w:numId w:val="1002"/>
        </w:numPr>
      </w:pPr>
      <w:r>
        <w:t xml:space="preserve">Discovery and documentation of current-state governance surfaces and hidden dependencies.</w:t>
      </w:r>
    </w:p>
    <w:p>
      <w:pPr>
        <w:pStyle w:val="Compact"/>
        <w:numPr>
          <w:ilvl w:val="0"/>
          <w:numId w:val="1002"/>
        </w:numPr>
      </w:pPr>
      <w:r>
        <w:t xml:space="preserve">Definition of a target attribute-oriented structure and control-plane model.</w:t>
      </w:r>
    </w:p>
    <w:p>
      <w:pPr>
        <w:pStyle w:val="Compact"/>
        <w:numPr>
          <w:ilvl w:val="0"/>
          <w:numId w:val="1002"/>
        </w:numPr>
      </w:pPr>
      <w:r>
        <w:t xml:space="preserve">Phased transformation plans and execution approaches for identity, policy, addressing/services, compute, and access.</w:t>
      </w:r>
    </w:p>
    <w:p>
      <w:pPr>
        <w:pStyle w:val="Compact"/>
        <w:numPr>
          <w:ilvl w:val="0"/>
          <w:numId w:val="1002"/>
        </w:numPr>
      </w:pPr>
      <w:r>
        <w:t xml:space="preserve">Change-control discipline (wave-based moves, least-privilege execution, provenance closure).</w:t>
      </w:r>
    </w:p>
    <w:p>
      <w:pPr>
        <w:pStyle w:val="Compact"/>
        <w:numPr>
          <w:ilvl w:val="0"/>
          <w:numId w:val="1002"/>
        </w:numPr>
      </w:pPr>
      <w:r>
        <w:t xml:space="preserve">Drift detection approach and evidence expectations.</w:t>
      </w:r>
    </w:p>
    <w:p>
      <w:pPr>
        <w:pStyle w:val="Compact"/>
        <w:numPr>
          <w:ilvl w:val="0"/>
          <w:numId w:val="1002"/>
        </w:numPr>
      </w:pPr>
      <w:r>
        <w:t xml:space="preserve">Program governance, gates, and success measures.</w:t>
      </w:r>
    </w:p>
    <w:bookmarkEnd w:id="12"/>
    <w:bookmarkStart w:id="13" w:name="out-of-scope-initial-phase"/>
    <w:p>
      <w:pPr>
        <w:pStyle w:val="Heading3"/>
      </w:pPr>
      <w:r>
        <w:t xml:space="preserve">Out of Scope (Initial Phase)</w:t>
      </w:r>
    </w:p>
    <w:p>
      <w:pPr>
        <w:pStyle w:val="Compact"/>
        <w:numPr>
          <w:ilvl w:val="0"/>
          <w:numId w:val="1003"/>
        </w:numPr>
      </w:pPr>
      <w:r>
        <w:t xml:space="preserve">Full replacement of existing compliance or audit frameworks.</w:t>
      </w:r>
    </w:p>
    <w:p>
      <w:pPr>
        <w:pStyle w:val="Compact"/>
        <w:numPr>
          <w:ilvl w:val="0"/>
          <w:numId w:val="1003"/>
        </w:numPr>
      </w:pPr>
      <w:r>
        <w:t xml:space="preserve">Vendor-specific product implementation details beyond worked examples.</w:t>
      </w:r>
    </w:p>
    <w:p>
      <w:pPr>
        <w:pStyle w:val="Compact"/>
        <w:numPr>
          <w:ilvl w:val="0"/>
          <w:numId w:val="1003"/>
        </w:numPr>
      </w:pPr>
      <w:r>
        <w:t xml:space="preserve">Real-time inline enforcement or data-plane components.</w:t>
      </w:r>
    </w:p>
    <w:p>
      <w:pPr>
        <w:pStyle w:val="Compact"/>
        <w:numPr>
          <w:ilvl w:val="0"/>
          <w:numId w:val="1003"/>
        </w:numPr>
      </w:pPr>
      <w:r>
        <w:t xml:space="preserve">Organization-specific data migration or cutover execution (the project defines the method; execution remains with the adopting organization).</w:t>
      </w:r>
    </w:p>
    <w:bookmarkEnd w:id="13"/>
    <w:bookmarkEnd w:id="14"/>
    <w:bookmarkStart w:id="15" w:name="guiding-principles"/>
    <w:p>
      <w:pPr>
        <w:pStyle w:val="Heading2"/>
      </w:pPr>
      <w:r>
        <w:t xml:space="preserve">5. Guiding Principles</w:t>
      </w:r>
    </w:p>
    <w:p>
      <w:pPr>
        <w:pStyle w:val="Compact"/>
        <w:numPr>
          <w:ilvl w:val="0"/>
          <w:numId w:val="1004"/>
        </w:numPr>
      </w:pPr>
      <w:r>
        <w:rPr>
          <w:b/>
          <w:bCs/>
        </w:rPr>
        <w:t xml:space="preserve">Authoritative origin</w:t>
      </w:r>
      <w:r>
        <w:t xml:space="preserve">: Every important claim or structural fact has exactly one origin. Other systems hold derived pointers or subordinate copies.</w:t>
      </w:r>
    </w:p>
    <w:p>
      <w:pPr>
        <w:pStyle w:val="Compact"/>
        <w:numPr>
          <w:ilvl w:val="0"/>
          <w:numId w:val="1004"/>
        </w:numPr>
      </w:pPr>
      <w:r>
        <w:rPr>
          <w:b/>
          <w:bCs/>
        </w:rPr>
        <w:t xml:space="preserve">Identity as root namespace</w:t>
      </w:r>
      <w:r>
        <w:t xml:space="preserve">: Organizational structure, policy scope, and addressing derive from identity attributes rather than independent hierarchies.</w:t>
      </w:r>
    </w:p>
    <w:p>
      <w:pPr>
        <w:pStyle w:val="Compact"/>
        <w:numPr>
          <w:ilvl w:val="0"/>
          <w:numId w:val="1004"/>
        </w:numPr>
      </w:pPr>
      <w:r>
        <w:rPr>
          <w:b/>
          <w:bCs/>
        </w:rPr>
        <w:t xml:space="preserve">Drift is explicit</w:t>
      </w:r>
      <w:r>
        <w:t xml:space="preserve">: Differences between intended and observed state are classified, visible, and actionable.</w:t>
      </w:r>
    </w:p>
    <w:p>
      <w:pPr>
        <w:pStyle w:val="Compact"/>
        <w:numPr>
          <w:ilvl w:val="0"/>
          <w:numId w:val="1004"/>
        </w:numPr>
      </w:pPr>
      <w:r>
        <w:rPr>
          <w:b/>
          <w:bCs/>
        </w:rPr>
        <w:t xml:space="preserve">Evidence-driven change</w:t>
      </w:r>
      <w:r>
        <w:t xml:space="preserve">: Changes originate from the authoritative source, execute under controlled privilege, and close with provenance.</w:t>
      </w:r>
    </w:p>
    <w:p>
      <w:pPr>
        <w:pStyle w:val="Compact"/>
        <w:numPr>
          <w:ilvl w:val="0"/>
          <w:numId w:val="1004"/>
        </w:numPr>
      </w:pPr>
      <w:r>
        <w:rPr>
          <w:b/>
          <w:bCs/>
        </w:rPr>
        <w:t xml:space="preserve">No rip-and-replace</w:t>
      </w:r>
      <w:r>
        <w:t xml:space="preserve">: Modernization proceeds by mapping, bridging, and progressively replacing implicit functions while preserving operational continuity.</w:t>
      </w:r>
    </w:p>
    <w:p>
      <w:pPr>
        <w:pStyle w:val="Compact"/>
        <w:numPr>
          <w:ilvl w:val="0"/>
          <w:numId w:val="1004"/>
        </w:numPr>
      </w:pPr>
      <w:r>
        <w:rPr>
          <w:b/>
          <w:bCs/>
        </w:rPr>
        <w:t xml:space="preserve">Least privilege and just-in-time access</w:t>
      </w:r>
      <w:r>
        <w:t xml:space="preserve">: Elevated rights exist only for the duration and scope of a governed change.</w:t>
      </w:r>
    </w:p>
    <w:bookmarkEnd w:id="15"/>
    <w:bookmarkStart w:id="16" w:name="success-criteria"/>
    <w:p>
      <w:pPr>
        <w:pStyle w:val="Heading2"/>
      </w:pPr>
      <w:r>
        <w:t xml:space="preserve">6. Success Criteria</w:t>
      </w:r>
    </w:p>
    <w:p>
      <w:pPr>
        <w:pStyle w:val="Compact"/>
        <w:numPr>
          <w:ilvl w:val="0"/>
          <w:numId w:val="1005"/>
        </w:numPr>
      </w:pPr>
      <w:r>
        <w:t xml:space="preserve">A documented current-state assessment of major governance surfaces and dependencies exists.</w:t>
      </w:r>
    </w:p>
    <w:p>
      <w:pPr>
        <w:pStyle w:val="Compact"/>
        <w:numPr>
          <w:ilvl w:val="0"/>
          <w:numId w:val="1005"/>
        </w:numPr>
      </w:pPr>
      <w:r>
        <w:t xml:space="preserve">A target attribute-driven structure and control-plane model is defined and agreed.</w:t>
      </w:r>
    </w:p>
    <w:p>
      <w:pPr>
        <w:pStyle w:val="Compact"/>
        <w:numPr>
          <w:ilvl w:val="0"/>
          <w:numId w:val="1005"/>
        </w:numPr>
      </w:pPr>
      <w:r>
        <w:t xml:space="preserve">At least one domain (identity or policy) has a complete transformation playbook with gates and evidence expectations.</w:t>
      </w:r>
    </w:p>
    <w:p>
      <w:pPr>
        <w:pStyle w:val="Compact"/>
        <w:numPr>
          <w:ilvl w:val="0"/>
          <w:numId w:val="1005"/>
        </w:numPr>
      </w:pPr>
      <w:r>
        <w:t xml:space="preserve">A change-control pattern (origination → authorization → least-privilege execution → provenance closure) is defined and ready for use.</w:t>
      </w:r>
    </w:p>
    <w:p>
      <w:pPr>
        <w:pStyle w:val="Compact"/>
        <w:numPr>
          <w:ilvl w:val="0"/>
          <w:numId w:val="1005"/>
        </w:numPr>
      </w:pPr>
      <w:r>
        <w:t xml:space="preserve">Drift classes and detection approach are specified.</w:t>
      </w:r>
    </w:p>
    <w:p>
      <w:pPr>
        <w:pStyle w:val="Compact"/>
        <w:numPr>
          <w:ilvl w:val="0"/>
          <w:numId w:val="1005"/>
        </w:numPr>
      </w:pPr>
      <w:r>
        <w:t xml:space="preserve">Leadership can describe the modernization path, major risks, and how success will be measured without reference to internal technical decision records.</w:t>
      </w:r>
    </w:p>
    <w:bookmarkEnd w:id="16"/>
    <w:bookmarkStart w:id="17" w:name="high-level-approach"/>
    <w:p>
      <w:pPr>
        <w:pStyle w:val="Heading2"/>
      </w:pPr>
      <w:r>
        <w:t xml:space="preserve">7. High-Level Approach</w:t>
      </w:r>
    </w:p>
    <w:p>
      <w:pPr>
        <w:pStyle w:val="Compact"/>
        <w:numPr>
          <w:ilvl w:val="0"/>
          <w:numId w:val="1006"/>
        </w:numPr>
      </w:pPr>
      <w:r>
        <w:rPr>
          <w:b/>
          <w:bCs/>
        </w:rPr>
        <w:t xml:space="preserve">Assess</w:t>
      </w:r>
      <w:r>
        <w:t xml:space="preserve"> </w:t>
      </w:r>
      <w:r>
        <w:t xml:space="preserve">— Inventory legacy dependencies and the governance model currently encoded in the directory and related systems.</w:t>
      </w:r>
    </w:p>
    <w:p>
      <w:pPr>
        <w:pStyle w:val="Compact"/>
        <w:numPr>
          <w:ilvl w:val="0"/>
          <w:numId w:val="1006"/>
        </w:numPr>
      </w:pPr>
      <w:r>
        <w:rPr>
          <w:b/>
          <w:bCs/>
        </w:rPr>
        <w:t xml:space="preserve">Define target</w:t>
      </w:r>
      <w:r>
        <w:t xml:space="preserve"> </w:t>
      </w:r>
      <w:r>
        <w:t xml:space="preserve">— Establish the attribute-oriented structure, dynamic constructs, and control-plane boundaries that will replace implicit hierarchy.</w:t>
      </w:r>
    </w:p>
    <w:p>
      <w:pPr>
        <w:pStyle w:val="Compact"/>
        <w:numPr>
          <w:ilvl w:val="0"/>
          <w:numId w:val="1006"/>
        </w:numPr>
      </w:pPr>
      <w:r>
        <w:rPr>
          <w:b/>
          <w:bCs/>
        </w:rPr>
        <w:t xml:space="preserve">Plan waves</w:t>
      </w:r>
      <w:r>
        <w:t xml:space="preserve"> </w:t>
      </w:r>
      <w:r>
        <w:t xml:space="preserve">— Sequence domain transformations with clear entry/exit criteria and rollback conditions.</w:t>
      </w:r>
    </w:p>
    <w:p>
      <w:pPr>
        <w:pStyle w:val="Compact"/>
        <w:numPr>
          <w:ilvl w:val="0"/>
          <w:numId w:val="1006"/>
        </w:numPr>
      </w:pPr>
      <w:r>
        <w:rPr>
          <w:b/>
          <w:bCs/>
        </w:rPr>
        <w:t xml:space="preserve">Execute under control</w:t>
      </w:r>
      <w:r>
        <w:t xml:space="preserve"> </w:t>
      </w:r>
      <w:r>
        <w:t xml:space="preserve">— Perform changes as governed operations that originate from the authoritative source and close with evidence.</w:t>
      </w:r>
    </w:p>
    <w:p>
      <w:pPr>
        <w:pStyle w:val="Compact"/>
        <w:numPr>
          <w:ilvl w:val="0"/>
          <w:numId w:val="1006"/>
        </w:numPr>
      </w:pPr>
      <w:r>
        <w:rPr>
          <w:b/>
          <w:bCs/>
        </w:rPr>
        <w:t xml:space="preserve">Validate and sustain</w:t>
      </w:r>
      <w:r>
        <w:t xml:space="preserve"> </w:t>
      </w:r>
      <w:r>
        <w:t xml:space="preserve">— Detect drift continuously and treat the authoritative origin as the baseline for ongoing operations.</w:t>
      </w:r>
    </w:p>
    <w:bookmarkEnd w:id="17"/>
    <w:bookmarkStart w:id="20" w:name="risks-and-assumptions"/>
    <w:p>
      <w:pPr>
        <w:pStyle w:val="Heading2"/>
      </w:pPr>
      <w:r>
        <w:t xml:space="preserve">8. Risks and Assumptions</w:t>
      </w:r>
    </w:p>
    <w:bookmarkStart w:id="18" w:name="key-risks"/>
    <w:p>
      <w:pPr>
        <w:pStyle w:val="Heading3"/>
      </w:pPr>
      <w:r>
        <w:t xml:space="preserve">Key Risks</w:t>
      </w:r>
    </w:p>
    <w:p>
      <w:pPr>
        <w:pStyle w:val="Compact"/>
        <w:numPr>
          <w:ilvl w:val="0"/>
          <w:numId w:val="1007"/>
        </w:numPr>
      </w:pPr>
      <w:r>
        <w:t xml:space="preserve">Incomplete discovery of hidden dependencies leads to unplanned outages or residual drift.</w:t>
      </w:r>
    </w:p>
    <w:p>
      <w:pPr>
        <w:pStyle w:val="Compact"/>
        <w:numPr>
          <w:ilvl w:val="0"/>
          <w:numId w:val="1007"/>
        </w:numPr>
      </w:pPr>
      <w:r>
        <w:t xml:space="preserve">Organizational resistance to making previously implicit authority explicit.</w:t>
      </w:r>
    </w:p>
    <w:p>
      <w:pPr>
        <w:pStyle w:val="Compact"/>
        <w:numPr>
          <w:ilvl w:val="0"/>
          <w:numId w:val="1007"/>
        </w:numPr>
      </w:pPr>
      <w:r>
        <w:t xml:space="preserve">Over-reliance on tooling without first normalizing the governance model.</w:t>
      </w:r>
    </w:p>
    <w:p>
      <w:pPr>
        <w:pStyle w:val="Compact"/>
        <w:numPr>
          <w:ilvl w:val="0"/>
          <w:numId w:val="1007"/>
        </w:numPr>
      </w:pPr>
      <w:r>
        <w:t xml:space="preserve">Physics and sovereignty constraints limit how far logical centralization of truth can be physically centralized.</w:t>
      </w:r>
    </w:p>
    <w:bookmarkEnd w:id="18"/>
    <w:bookmarkStart w:id="19" w:name="assumptions"/>
    <w:p>
      <w:pPr>
        <w:pStyle w:val="Heading3"/>
      </w:pPr>
      <w:r>
        <w:t xml:space="preserve">Assumptions</w:t>
      </w:r>
    </w:p>
    <w:p>
      <w:pPr>
        <w:pStyle w:val="Compact"/>
        <w:numPr>
          <w:ilvl w:val="0"/>
          <w:numId w:val="1008"/>
        </w:numPr>
      </w:pPr>
      <w:r>
        <w:t xml:space="preserve">The adopting organization has (or can designate) an authoritative source for human and non-human identity lifecycle events.</w:t>
      </w:r>
    </w:p>
    <w:p>
      <w:pPr>
        <w:pStyle w:val="Compact"/>
        <w:numPr>
          <w:ilvl w:val="0"/>
          <w:numId w:val="1008"/>
        </w:numPr>
      </w:pPr>
      <w:r>
        <w:t xml:space="preserve">Microsoft cloud identity and device management services (or equivalent) are available as target platforms for worked examples.</w:t>
      </w:r>
    </w:p>
    <w:p>
      <w:pPr>
        <w:pStyle w:val="Compact"/>
        <w:numPr>
          <w:ilvl w:val="0"/>
          <w:numId w:val="1008"/>
        </w:numPr>
      </w:pPr>
      <w:r>
        <w:t xml:space="preserve">Stakeholders accept that modernization is a governance reconstruction problem as much as a technical migration problem.</w:t>
      </w:r>
    </w:p>
    <w:bookmarkEnd w:id="19"/>
    <w:bookmarkEnd w:id="20"/>
    <w:bookmarkStart w:id="21" w:name="governance-and-ownership"/>
    <w:p>
      <w:pPr>
        <w:pStyle w:val="Heading2"/>
      </w:pPr>
      <w:r>
        <w:t xml:space="preserve">9. Governance and Ownership</w:t>
      </w:r>
    </w:p>
    <w:p>
      <w:pPr>
        <w:pStyle w:val="Compact"/>
        <w:numPr>
          <w:ilvl w:val="0"/>
          <w:numId w:val="1009"/>
        </w:numPr>
      </w:pPr>
      <w:r>
        <w:t xml:space="preserve">Project sponsor: (to be named)</w:t>
      </w:r>
    </w:p>
    <w:p>
      <w:pPr>
        <w:pStyle w:val="Compact"/>
        <w:numPr>
          <w:ilvl w:val="0"/>
          <w:numId w:val="1009"/>
        </w:numPr>
      </w:pPr>
      <w:r>
        <w:t xml:space="preserve">Project lead: (to be named)</w:t>
      </w:r>
    </w:p>
    <w:p>
      <w:pPr>
        <w:pStyle w:val="Compact"/>
        <w:numPr>
          <w:ilvl w:val="0"/>
          <w:numId w:val="1009"/>
        </w:numPr>
      </w:pPr>
      <w:r>
        <w:t xml:space="preserve">Domain leads: Identity, Policy, Services/Addressing, Compute, Access</w:t>
      </w:r>
    </w:p>
    <w:p>
      <w:pPr>
        <w:pStyle w:val="Compact"/>
        <w:numPr>
          <w:ilvl w:val="0"/>
          <w:numId w:val="1009"/>
        </w:numPr>
      </w:pPr>
      <w:r>
        <w:t xml:space="preserve">Decision rights: Major scope, sequencing, and target-model decisions rest with the project lead and sponsor; domain leads own playbook content and execution readiness.</w:t>
      </w:r>
    </w:p>
    <w:bookmarkEnd w:id="21"/>
    <w:bookmarkStart w:id="22" w:name="next-steps"/>
    <w:p>
      <w:pPr>
        <w:pStyle w:val="Heading2"/>
      </w:pPr>
      <w:r>
        <w:t xml:space="preserve">10. Next Steps</w:t>
      </w:r>
    </w:p>
    <w:p>
      <w:pPr>
        <w:pStyle w:val="Compact"/>
        <w:numPr>
          <w:ilvl w:val="0"/>
          <w:numId w:val="1010"/>
        </w:numPr>
      </w:pPr>
      <w:r>
        <w:t xml:space="preserve">Finalize project name and stakeholder list.</w:t>
      </w:r>
    </w:p>
    <w:p>
      <w:pPr>
        <w:pStyle w:val="Compact"/>
        <w:numPr>
          <w:ilvl w:val="0"/>
          <w:numId w:val="1010"/>
        </w:numPr>
      </w:pPr>
      <w:r>
        <w:t xml:space="preserve">Complete current-state assessment scope and data sources.</w:t>
      </w:r>
    </w:p>
    <w:p>
      <w:pPr>
        <w:pStyle w:val="Compact"/>
        <w:numPr>
          <w:ilvl w:val="0"/>
          <w:numId w:val="1010"/>
        </w:numPr>
      </w:pPr>
      <w:r>
        <w:t xml:space="preserve">Draft the target architecture outline.</w:t>
      </w:r>
    </w:p>
    <w:p>
      <w:pPr>
        <w:pStyle w:val="Compact"/>
        <w:numPr>
          <w:ilvl w:val="0"/>
          <w:numId w:val="1010"/>
        </w:numPr>
      </w:pPr>
      <w:r>
        <w:t xml:space="preserve">Define the first wave (recommended: identity structure and dynamic membership).</w:t>
      </w:r>
    </w:p>
    <w:p>
      <w:pPr>
        <w:pStyle w:val="Compact"/>
        <w:numPr>
          <w:ilvl w:val="0"/>
          <w:numId w:val="1010"/>
        </w:numPr>
      </w:pPr>
      <w:r>
        <w:t xml:space="preserve">Establish the evidence and provenance expectations that will apply to all subsequent changes.</w:t>
      </w:r>
    </w:p>
    <w:p>
      <w:r>
        <w:pict>
          <v:rect style="width:0;height:1.5pt" o:hralign="center" o:hrstd="t" o:hr="t"/>
        </w:pict>
      </w:r>
    </w:p>
    <w:p>
      <w:pPr>
        <w:pStyle w:val="FirstParagraph"/>
      </w:pPr>
      <w:r>
        <w:rPr>
          <w:i/>
          <w:iCs/>
        </w:rPr>
        <w:t xml:space="preserve">This charter describes the modernization project. It deliberately omits internal architectural decision records and document identifiers from source materials so that it can be used directly as a project planning artifact.</w:t>
      </w:r>
    </w:p>
    <w:bookmarkEnd w:id="22"/>
    <w:bookmarkEnd w:id="2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pPr>
      <w:keepLines/>
    </w:pPr>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uiPriority w:val="59"/>
    <w:qFormat/>
    <w:tblPr>
      <w:tblInd w:type="dxa" w:w="0"/>
      <w:tblBorders>
        <w:top w:color="0078D4" w:space="0" w:sz="12" w:val="single"/>
        <w:bottom w:color="0078D4" w:space="0" w:sz="12" w:val="single"/>
        <w:left w:val="nil"/>
        <w:right w:val="nil"/>
        <w:insideH w:color="D1D5DA" w:space="0" w:sz="4" w:val="single"/>
        <w:insideV w:val="nil"/>
      </w:tblBorders>
      <w:tblCellMar>
        <w:top w:type="dxa" w:w="80"/>
        <w:left w:type="dxa" w:w="108"/>
        <w:bottom w:type="dxa" w:w="80"/>
        <w:right w:type="dxa" w:w="108"/>
      </w:tblCellMar>
    </w:tblPr>
    <w:tblStylePr w:type="firstRow">
      <w:rPr>
        <w:b/>
      </w:rPr>
      <w:tcPr>
        <w:tcBorders>
          <w:bottom w:color="0078D4" w:space="0" w:sz="8"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SourceCode" w:type="paragraph">
    <w:name w:val="Source Code"/>
    <w:basedOn w:val="Normal"/>
    <w:link w:val="VerbatimChar"/>
    <w:pPr>
      <w:pBdr>
        <w:top w:color="D1D5DA" w:space="6" w:sz="6" w:val="single"/>
        <w:left w:color="D1D5DA" w:space="6" w:sz="6" w:val="single"/>
        <w:bottom w:color="D1D5DA" w:space="6" w:sz="6" w:val="single"/>
        <w:right w:color="D1D5DA" w:space="6" w:sz="6" w:val="single"/>
      </w:pBdr>
      <w:shd w:fill="F6F8FA" w:val="clear"/>
      <w:wordWrap w:val="off"/>
      <w:spacing w:after="0" w:before="0" w:line="240" w:lineRule="auto"/>
      <w:ind w:left="144" w:right="144"/>
      <w:contextualSpacing/>
    </w:pPr>
    <w:rPr>
      <w:rFonts w:ascii="Consolas" w:hAnsi="Consolas"/>
      <w:color w:val="24292E"/>
      <w:sz w:val="18"/>
    </w:rPr>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character" w:customStyle="1" w:styleId="KeywordTok">
    <w:name w:val="KeywordTok"/>
    <w:basedOn w:val="VerbatimChar"/>
    <w:rPr>
      <w:b/>
      <w:color w:val="003b4f"/>
      <w:shd w:val="clear" w:fill="f1f3f5"/>
    </w:rPr>
  </w:style>
  <w:style w:type="character" w:customStyle="1" w:styleId="DataTypeTok">
    <w:name w:val="DataTypeTok"/>
    <w:basedOn w:val="VerbatimChar"/>
    <w:rPr>
      <w:color w:val="ad0000"/>
      <w:shd w:val="clear" w:fill="f1f3f5"/>
    </w:rPr>
  </w:style>
  <w:style w:type="character" w:customStyle="1" w:styleId="DecValTok">
    <w:name w:val="DecValTok"/>
    <w:basedOn w:val="VerbatimChar"/>
    <w:rPr>
      <w:color w:val="ad0000"/>
      <w:shd w:val="clear" w:fill="f1f3f5"/>
    </w:rPr>
  </w:style>
  <w:style w:type="character" w:customStyle="1" w:styleId="BaseNTok">
    <w:name w:val="BaseNTok"/>
    <w:basedOn w:val="VerbatimChar"/>
    <w:rPr>
      <w:color w:val="ad0000"/>
      <w:shd w:val="clear" w:fill="f1f3f5"/>
    </w:rPr>
  </w:style>
  <w:style w:type="character" w:customStyle="1" w:styleId="FloatTok">
    <w:name w:val="FloatTok"/>
    <w:basedOn w:val="VerbatimChar"/>
    <w:rPr>
      <w:color w:val="ad0000"/>
      <w:shd w:val="clear" w:fill="f1f3f5"/>
    </w:rPr>
  </w:style>
  <w:style w:type="character" w:customStyle="1" w:styleId="ConstantTok">
    <w:name w:val="ConstantTok"/>
    <w:basedOn w:val="VerbatimChar"/>
    <w:rPr>
      <w:color w:val="8f5902"/>
      <w:shd w:val="clear" w:fill="f1f3f5"/>
    </w:rPr>
  </w:style>
  <w:style w:type="character" w:customStyle="1" w:styleId="CharTok">
    <w:name w:val="CharTok"/>
    <w:basedOn w:val="VerbatimChar"/>
    <w:rPr>
      <w:color w:val="20794d"/>
      <w:shd w:val="clear" w:fill="f1f3f5"/>
    </w:rPr>
  </w:style>
  <w:style w:type="character" w:customStyle="1" w:styleId="SpecialCharTok">
    <w:name w:val="SpecialCharTok"/>
    <w:basedOn w:val="VerbatimChar"/>
    <w:rPr>
      <w:color w:val="5e5e5e"/>
      <w:shd w:val="clear" w:fill="f1f3f5"/>
    </w:rPr>
  </w:style>
  <w:style w:type="character" w:customStyle="1" w:styleId="StringTok">
    <w:name w:val="StringTok"/>
    <w:basedOn w:val="VerbatimChar"/>
    <w:rPr>
      <w:color w:val="20794d"/>
      <w:shd w:val="clear" w:fill="f1f3f5"/>
    </w:rPr>
  </w:style>
  <w:style w:type="character" w:customStyle="1" w:styleId="VerbatimStringTok">
    <w:name w:val="VerbatimStringTok"/>
    <w:basedOn w:val="VerbatimChar"/>
    <w:rPr>
      <w:color w:val="20794d"/>
      <w:shd w:val="clear" w:fill="f1f3f5"/>
    </w:rPr>
  </w:style>
  <w:style w:type="character" w:customStyle="1" w:styleId="SpecialStringTok">
    <w:name w:val="SpecialStringTok"/>
    <w:basedOn w:val="VerbatimChar"/>
    <w:rPr>
      <w:color w:val="20794d"/>
      <w:shd w:val="clear" w:fill="f1f3f5"/>
    </w:rPr>
  </w:style>
  <w:style w:type="character" w:customStyle="1" w:styleId="ImportTok">
    <w:name w:val="ImportTok"/>
    <w:basedOn w:val="VerbatimChar"/>
    <w:rPr>
      <w:color w:val="00769e"/>
      <w:shd w:val="clear" w:fill="f1f3f5"/>
    </w:rPr>
  </w:style>
  <w:style w:type="character" w:customStyle="1" w:styleId="CommentTok">
    <w:name w:val="CommentTok"/>
    <w:basedOn w:val="VerbatimChar"/>
    <w:rPr>
      <w:color w:val="5e5e5e"/>
      <w:shd w:val="clear" w:fill="f1f3f5"/>
    </w:rPr>
  </w:style>
  <w:style w:type="character" w:customStyle="1" w:styleId="DocumentationTok">
    <w:name w:val="DocumentationTok"/>
    <w:basedOn w:val="VerbatimChar"/>
    <w:rPr>
      <w:i/>
      <w:color w:val="5e5e5e"/>
      <w:shd w:val="clear" w:fill="f1f3f5"/>
    </w:rPr>
  </w:style>
  <w:style w:type="character" w:customStyle="1" w:styleId="AnnotationTok">
    <w:name w:val="AnnotationTok"/>
    <w:basedOn w:val="VerbatimChar"/>
    <w:rPr>
      <w:color w:val="5e5e5e"/>
      <w:shd w:val="clear" w:fill="f1f3f5"/>
    </w:rPr>
  </w:style>
  <w:style w:type="character" w:customStyle="1" w:styleId="CommentVarTok">
    <w:name w:val="CommentVarTok"/>
    <w:basedOn w:val="VerbatimChar"/>
    <w:rPr>
      <w:i/>
      <w:color w:val="5e5e5e"/>
      <w:shd w:val="clear" w:fill="f1f3f5"/>
    </w:rPr>
  </w:style>
  <w:style w:type="character" w:customStyle="1" w:styleId="OtherTok">
    <w:name w:val="OtherTok"/>
    <w:basedOn w:val="VerbatimChar"/>
    <w:rPr>
      <w:color w:val="003b4f"/>
      <w:shd w:val="clear" w:fill="f1f3f5"/>
    </w:rPr>
  </w:style>
  <w:style w:type="character" w:customStyle="1" w:styleId="FunctionTok">
    <w:name w:val="FunctionTok"/>
    <w:basedOn w:val="VerbatimChar"/>
    <w:rPr>
      <w:color w:val="4758ab"/>
      <w:shd w:val="clear" w:fill="f1f3f5"/>
    </w:rPr>
  </w:style>
  <w:style w:type="character" w:customStyle="1" w:styleId="VariableTok">
    <w:name w:val="VariableTok"/>
    <w:basedOn w:val="VerbatimChar"/>
    <w:rPr>
      <w:color w:val="111111"/>
      <w:shd w:val="clear" w:fill="f1f3f5"/>
    </w:rPr>
  </w:style>
  <w:style w:type="character" w:customStyle="1" w:styleId="ControlFlowTok">
    <w:name w:val="ControlFlowTok"/>
    <w:basedOn w:val="VerbatimChar"/>
    <w:rPr>
      <w:b/>
      <w:color w:val="003b4f"/>
      <w:shd w:val="clear" w:fill="f1f3f5"/>
    </w:rPr>
  </w:style>
  <w:style w:type="character" w:customStyle="1" w:styleId="OperatorTok">
    <w:name w:val="OperatorTok"/>
    <w:basedOn w:val="VerbatimChar"/>
    <w:rPr>
      <w:color w:val="5e5e5e"/>
      <w:shd w:val="clear" w:fill="f1f3f5"/>
    </w:rPr>
  </w:style>
  <w:style w:type="character" w:customStyle="1" w:styleId="BuiltInTok">
    <w:name w:val="BuiltInTok"/>
    <w:basedOn w:val="VerbatimChar"/>
    <w:rPr>
      <w:color w:val="003b4f"/>
      <w:shd w:val="clear" w:fill="f1f3f5"/>
    </w:rPr>
  </w:style>
  <w:style w:type="character" w:customStyle="1" w:styleId="ExtensionTok">
    <w:name w:val="ExtensionTok"/>
    <w:basedOn w:val="VerbatimChar"/>
    <w:rPr>
      <w:color w:val="003b4f"/>
      <w:shd w:val="clear" w:fill="f1f3f5"/>
    </w:rPr>
  </w:style>
  <w:style w:type="character" w:customStyle="1" w:styleId="PreprocessorTok">
    <w:name w:val="PreprocessorTok"/>
    <w:basedOn w:val="VerbatimChar"/>
    <w:rPr>
      <w:color w:val="ad0000"/>
      <w:shd w:val="clear" w:fill="f1f3f5"/>
    </w:rPr>
  </w:style>
  <w:style w:type="character" w:customStyle="1" w:styleId="AttributeTok">
    <w:name w:val="AttributeTok"/>
    <w:basedOn w:val="VerbatimChar"/>
    <w:rPr>
      <w:color w:val="657422"/>
      <w:shd w:val="clear" w:fill="f1f3f5"/>
    </w:rPr>
  </w:style>
  <w:style w:type="character" w:customStyle="1" w:styleId="RegionMarkerTok">
    <w:name w:val="RegionMarkerTok"/>
    <w:basedOn w:val="VerbatimChar"/>
    <w:rPr>
      <w:color w:val="003b4f"/>
      <w:shd w:val="clear" w:fill="f1f3f5"/>
    </w:rPr>
  </w:style>
  <w:style w:type="character" w:customStyle="1" w:styleId="InformationTok">
    <w:name w:val="InformationTok"/>
    <w:basedOn w:val="VerbatimChar"/>
    <w:rPr>
      <w:color w:val="5e5e5e"/>
      <w:shd w:val="clear" w:fill="f1f3f5"/>
    </w:rPr>
  </w:style>
  <w:style w:type="character" w:customStyle="1" w:styleId="WarningTok">
    <w:name w:val="WarningTok"/>
    <w:basedOn w:val="VerbatimChar"/>
    <w:rPr>
      <w:i/>
      <w:color w:val="5e5e5e"/>
      <w:shd w:val="clear" w:fill="f1f3f5"/>
    </w:rPr>
  </w:style>
  <w:style w:type="character" w:customStyle="1" w:styleId="AlertTok">
    <w:name w:val="AlertTok"/>
    <w:basedOn w:val="VerbatimChar"/>
    <w:rPr>
      <w:color w:val="ad0000"/>
      <w:shd w:val="clear" w:fill="f1f3f5"/>
    </w:rPr>
  </w:style>
  <w:style w:type="character" w:customStyle="1" w:styleId="ErrorTok">
    <w:name w:val="ErrorTok"/>
    <w:basedOn w:val="VerbatimChar"/>
    <w:rPr>
      <w:color w:val="ad0000"/>
      <w:shd w:val="clear" w:fill="f1f3f5"/>
    </w:rPr>
  </w:style>
  <w:style w:type="character" w:customStyle="1" w:styleId="NormalTok">
    <w:name w:val="NormalTok"/>
    <w:basedOn w:val="VerbatimChar"/>
    <w:rPr>
      <w:color w:val="003b4f"/>
      <w:shd w:val="clear" w:fill="f1f3f5"/>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2026-10-19T10:12:01Z</dcterms:created>
  <dcterms:modified xsi:type="dcterms:W3CDTF">2026-10-19T10:12:01Z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blio-config">
    <vt:lpwstr>True</vt:lpwstr>
  </property>
  <property fmtid="{D5CDD505-2E9C-101B-9397-08002B2CF9AE}" pid="3" name="header-includes">
    <vt:lpwstr/>
  </property>
  <property fmtid="{D5CDD505-2E9C-101B-9397-08002B2CF9AE}" pid="4" name="include-after">
    <vt:lpwstr/>
  </property>
  <property fmtid="{D5CDD505-2E9C-101B-9397-08002B2CF9AE}" pid="5" name="include-before">
    <vt:lpwstr/>
  </property>
  <property fmtid="{D5CDD505-2E9C-101B-9397-08002B2CF9AE}" pid="6" name="labels">
    <vt:lpwstr/>
  </property>
  <property fmtid="{D5CDD505-2E9C-101B-9397-08002B2CF9AE}" pid="7" name="toc-title">
    <vt:lpwstr>Table of contents</vt:lpwstr>
  </property>
</Properties>
</file>