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62" w:name="modernization-project-plan"/>
    <w:p>
      <w:pPr>
        <w:pStyle w:val="Heading1"/>
      </w:pPr>
      <w:r>
        <w:t xml:space="preserve">Modernization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This plan describes how the modernization project will move from the current state (implicit governance encoded in legacy directories and fragmented stores) to a target state defined by a single authoritative origin for structure and claims, attribute-driven constructs, explicit drift detection, and controlled, evidence-producing change.</w:t>
      </w:r>
    </w:p>
    <w:p>
      <w:pPr>
        <w:pStyle w:val="BodyText"/>
      </w:pPr>
      <w:r>
        <w:t xml:space="preserve">It follows the approach in the Project Charter: Assess → Define target → Plan waves → Execute under control → Validate and sustain.</w:t>
      </w:r>
    </w:p>
    <w:p>
      <w:pPr>
        <w:pStyle w:val="BodyText"/>
      </w:pPr>
      <w:r>
        <w:t xml:space="preserve">The plan is organized by phases. Each phase has objectives, key activities, deliverables, entry/exit criteria, and notes on risks or dependencies. Domain workstreams (identity, policy, services/addressing, compute/device, access plane) run inside the later phases and can be sequenced or parallelized according to organizational priorities.</w:t>
      </w:r>
    </w:p>
    <w:bookmarkEnd w:id="9"/>
    <w:bookmarkStart w:id="10" w:name="guiding-constraints"/>
    <w:p>
      <w:pPr>
        <w:pStyle w:val="Heading2"/>
      </w:pPr>
      <w:r>
        <w:t xml:space="preserve">2. Guiding Constraints</w:t>
      </w:r>
    </w:p>
    <w:p>
      <w:pPr>
        <w:pStyle w:val="Compact"/>
        <w:numPr>
          <w:ilvl w:val="0"/>
          <w:numId w:val="1001"/>
        </w:numPr>
      </w:pPr>
      <w:r>
        <w:t xml:space="preserve">Changes originate from a designated authoritative source and close with provenance.</w:t>
      </w:r>
    </w:p>
    <w:p>
      <w:pPr>
        <w:pStyle w:val="Compact"/>
        <w:numPr>
          <w:ilvl w:val="0"/>
          <w:numId w:val="1001"/>
        </w:numPr>
      </w:pPr>
      <w:r>
        <w:t xml:space="preserve">Elevated privilege is time-bounded and scoped (just-in-time).</w:t>
      </w:r>
    </w:p>
    <w:p>
      <w:pPr>
        <w:pStyle w:val="Compact"/>
        <w:numPr>
          <w:ilvl w:val="0"/>
          <w:numId w:val="1001"/>
        </w:numPr>
      </w:pPr>
      <w:r>
        <w:t xml:space="preserve">Derived copies and subordinate systems remain explicitly non-authoritative.</w:t>
      </w:r>
    </w:p>
    <w:p>
      <w:pPr>
        <w:pStyle w:val="Compact"/>
        <w:numPr>
          <w:ilvl w:val="0"/>
          <w:numId w:val="1001"/>
        </w:numPr>
      </w:pPr>
      <w:r>
        <w:t xml:space="preserve">Drift between intended and observed state is classified and visible.</w:t>
      </w:r>
    </w:p>
    <w:p>
      <w:pPr>
        <w:pStyle w:val="Compact"/>
        <w:numPr>
          <w:ilvl w:val="0"/>
          <w:numId w:val="1001"/>
        </w:numPr>
      </w:pPr>
      <w:r>
        <w:t xml:space="preserve">No full rip-and-replace is required to make progress.</w:t>
      </w:r>
    </w:p>
    <w:bookmarkEnd w:id="10"/>
    <w:bookmarkStart w:id="48" w:name="phases"/>
    <w:p>
      <w:pPr>
        <w:pStyle w:val="Heading2"/>
      </w:pPr>
      <w:r>
        <w:t xml:space="preserve">3. Phases</w:t>
      </w:r>
    </w:p>
    <w:bookmarkStart w:id="15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Confirm scope, stakeholders, success criteria, and decision rights.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Review and finalize the Project Charter.</w:t>
      </w:r>
      <w:r>
        <w:t xml:space="preserve"> </w:t>
      </w:r>
      <w:r>
        <w:t xml:space="preserve">- Identify sponsor, project lead, and domain leads.</w:t>
      </w:r>
      <w:r>
        <w:t xml:space="preserve"> </w:t>
      </w:r>
      <w:r>
        <w:t xml:space="preserve">- Confirm in-scope domains and any organizational constraints (data residency, existing tools, timeline pressure).</w:t>
      </w:r>
      <w:r>
        <w:t xml:space="preserve"> </w:t>
      </w:r>
      <w:r>
        <w:t xml:space="preserve">- Agree on the evidence and provenance expectations that will apply to all later changes.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Signed or accepted Project Charter.</w:t>
      </w:r>
      <w:r>
        <w:t xml:space="preserve"> </w:t>
      </w:r>
      <w:r>
        <w:t xml:space="preserve">- Stakeholder and role list.</w:t>
      </w:r>
      <w:r>
        <w:t xml:space="preserve"> </w:t>
      </w:r>
      <w:r>
        <w:t xml:space="preserve">- Initial risk register.</w:t>
      </w:r>
    </w:p>
    <w:p>
      <w:pPr>
        <w:pStyle w:val="BodyText"/>
      </w:pPr>
      <w:r>
        <w:rPr>
          <w:b/>
          <w:bCs/>
        </w:rPr>
        <w:t xml:space="preserve">Supporting material</w:t>
      </w:r>
      <w:r>
        <w:t xml:space="preserve"> </w:t>
      </w:r>
      <w:r>
        <w:t xml:space="preserve">-</w:t>
      </w:r>
      <w:r>
        <w:t xml:space="preserve"> </w:t>
      </w:r>
      <w:hyperlink r:id="rId11">
        <w:r>
          <w:rPr>
            <w:rStyle w:val="Hyperlink"/>
          </w:rPr>
          <w:t xml:space="preserve">Why Modernization Is Hard</w:t>
        </w:r>
      </w:hyperlink>
      <w:r>
        <w:t xml:space="preserve"> </w:t>
      </w:r>
      <w:r>
        <w:t xml:space="preserve">— leadership framing of the problem</w:t>
      </w:r>
      <w:r>
        <w:t xml:space="preserve"> </w:t>
      </w:r>
      <w:r>
        <w:t xml:space="preserve">-</w:t>
      </w:r>
      <w:r>
        <w:t xml:space="preserve"> </w:t>
      </w:r>
      <w:hyperlink r:id="rId12">
        <w:r>
          <w:rPr>
            <w:rStyle w:val="Hyperlink"/>
          </w:rPr>
          <w:t xml:space="preserve">Principles</w:t>
        </w:r>
      </w:hyperlink>
      <w:r>
        <w:t xml:space="preserve"> </w:t>
      </w:r>
      <w:r>
        <w:t xml:space="preserve">— the rules the charter commits to</w:t>
      </w:r>
      <w:r>
        <w:t xml:space="preserve"> </w:t>
      </w:r>
      <w:r>
        <w:t xml:space="preserve">-</w:t>
      </w:r>
      <w:r>
        <w:t xml:space="preserve"> </w:t>
      </w:r>
      <w:hyperlink r:id="rId13">
        <w:r>
          <w:rPr>
            <w:rStyle w:val="Hyperlink"/>
          </w:rPr>
          <w:t xml:space="preserve">Chapter 00 — The Problem Nobody Talks About</w:t>
        </w:r>
      </w:hyperlink>
      <w:r>
        <w:t xml:space="preserve"> </w:t>
      </w:r>
      <w:r>
        <w:t xml:space="preserve">-</w:t>
      </w:r>
      <w:r>
        <w:t xml:space="preserve"> </w:t>
      </w:r>
      <w:hyperlink r:id="rId14">
        <w:r>
          <w:rPr>
            <w:rStyle w:val="Hyperlink"/>
          </w:rPr>
          <w:t xml:space="preserve">Chapter 10 — Leadership Takeaway</w:t>
        </w:r>
      </w:hyperlink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Leadership can state the problem, the target outcome, and how success will be measured.</w:t>
      </w:r>
    </w:p>
    <w:bookmarkEnd w:id="15"/>
    <w:bookmarkStart w:id="21" w:name="phase-1-current-state-assessment"/>
    <w:p>
      <w:pPr>
        <w:pStyle w:val="Heading3"/>
      </w:pPr>
      <w:r>
        <w:t xml:space="preserve">Phase 1 — Current-State Assessment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Make the existing governance model and hidden dependencies explicit.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Inventory major directory and identity dependencies (organizational structure, delegation, policy, service accounts, certificates, naming, addressing).</w:t>
      </w:r>
      <w:r>
        <w:t xml:space="preserve"> </w:t>
      </w:r>
      <w:r>
        <w:t xml:space="preserve">- Document how structure and authority are currently encoded (hierarchical containers, group membership, policy inheritance, etc.).</w:t>
      </w:r>
      <w:r>
        <w:t xml:space="preserve"> </w:t>
      </w:r>
      <w:r>
        <w:t xml:space="preserve">- Identify sources of truth (or competing sources) for human and non-human identity lifecycle events.</w:t>
      </w:r>
      <w:r>
        <w:t xml:space="preserve"> </w:t>
      </w:r>
      <w:r>
        <w:t xml:space="preserve">- Capture known fragmentation points and reconciliation pain.</w:t>
      </w:r>
      <w:r>
        <w:t xml:space="preserve"> </w:t>
      </w:r>
      <w:r>
        <w:t xml:space="preserve">- Produce a dependency and risk map that highlights migration hazards.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Current-state assessment report.</w:t>
      </w:r>
      <w:r>
        <w:t xml:space="preserve"> </w:t>
      </w:r>
      <w:r>
        <w:t xml:space="preserve">- Dependency and hidden-surface inventory.</w:t>
      </w:r>
      <w:r>
        <w:t xml:space="preserve"> </w:t>
      </w:r>
      <w:r>
        <w:t xml:space="preserve">- List of candidate authoritative origins for key object classes.</w:t>
      </w:r>
      <w:r>
        <w:t xml:space="preserve"> </w:t>
      </w:r>
      <w:r>
        <w:t xml:space="preserve">- Initial normalization recommendations (what must be cleaned or rationalized before migration).</w:t>
      </w:r>
    </w:p>
    <w:p>
      <w:pPr>
        <w:pStyle w:val="BodyText"/>
      </w:pPr>
      <w:r>
        <w:rPr>
          <w:b/>
          <w:bCs/>
        </w:rPr>
        <w:t xml:space="preserve">Supporting material</w:t>
      </w:r>
      <w:r>
        <w:t xml:space="preserve"> </w:t>
      </w:r>
      <w:r>
        <w:t xml:space="preserve">-</w:t>
      </w:r>
      <w:r>
        <w:t xml:space="preserve"> </w:t>
      </w:r>
      <w:hyperlink r:id="rId16">
        <w:r>
          <w:rPr>
            <w:rStyle w:val="Hyperlink"/>
          </w:rPr>
          <w:t xml:space="preserve">Read-Only AD Assessment Guide</w:t>
        </w:r>
      </w:hyperlink>
      <w:r>
        <w:t xml:space="preserve"> </w:t>
      </w:r>
      <w:r>
        <w:t xml:space="preserve">— discovery without changing the directory</w:t>
      </w:r>
      <w:r>
        <w:t xml:space="preserve"> </w:t>
      </w:r>
      <w:r>
        <w:t xml:space="preserve">-</w:t>
      </w:r>
      <w:r>
        <w:t xml:space="preserve"> </w:t>
      </w:r>
      <w:hyperlink r:id="rId17">
        <w:r>
          <w:rPr>
            <w:rStyle w:val="Hyperlink"/>
          </w:rPr>
          <w:t xml:space="preserve">Chapter 02 — Analyzing the Client/Server Estate</w:t>
        </w:r>
      </w:hyperlink>
      <w:r>
        <w:t xml:space="preserve"> </w:t>
      </w:r>
      <w:r>
        <w:t xml:space="preserve">-</w:t>
      </w:r>
      <w:r>
        <w:t xml:space="preserve"> </w:t>
      </w:r>
      <w:hyperlink r:id="rId18">
        <w:r>
          <w:rPr>
            <w:rStyle w:val="Hyperlink"/>
          </w:rPr>
          <w:t xml:space="preserve">Identity and Directory Transformation Inventory</w:t>
        </w:r>
      </w:hyperlink>
      <w:r>
        <w:t xml:space="preserve"> </w:t>
      </w:r>
      <w:r>
        <w:t xml:space="preserve">-</w:t>
      </w:r>
      <w:r>
        <w:t xml:space="preserve"> </w:t>
      </w:r>
      <w:hyperlink r:id="rId19">
        <w:r>
          <w:rPr>
            <w:rStyle w:val="Hyperlink"/>
          </w:rPr>
          <w:t xml:space="preserve">GPO-to-Cloud Governance Gaps</w:t>
        </w:r>
      </w:hyperlink>
      <w:r>
        <w:t xml:space="preserve"> </w:t>
      </w: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Old AD vs New Entra ID</w:t>
        </w:r>
      </w:hyperlink>
      <w:r>
        <w:t xml:space="preserve"> </w:t>
      </w:r>
      <w:r>
        <w:t xml:space="preserve">— reference for the assessment team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The team can describe, in concrete terms, what the directory currently “knows” about the organization and what would break if that knowledge disappeared.</w:t>
      </w:r>
    </w:p>
    <w:bookmarkEnd w:id="21"/>
    <w:bookmarkStart w:id="27" w:name="phase-2-target-architecture-definition"/>
    <w:p>
      <w:pPr>
        <w:pStyle w:val="Heading3"/>
      </w:pPr>
      <w:r>
        <w:t xml:space="preserve">Phase 2 — Target Architecture Definition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Define the attribute-oriented structure and control-plane model that will replace implicit hierarchy.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Specify the attributes that will represent organizational position, lifecycle, and security context.</w:t>
      </w:r>
      <w:r>
        <w:t xml:space="preserve"> </w:t>
      </w:r>
      <w:r>
        <w:t xml:space="preserve">- Define how dynamic membership and scoped policy will be driven from those attributes.</w:t>
      </w:r>
      <w:r>
        <w:t xml:space="preserve"> </w:t>
      </w:r>
      <w:r>
        <w:t xml:space="preserve">- Describe the layered model (Identity → Structure → Policy → Governance) and the role of each layer.</w:t>
      </w:r>
      <w:r>
        <w:t xml:space="preserve"> </w:t>
      </w:r>
      <w:r>
        <w:t xml:space="preserve">- Identify control planes (identity, addressing, policy, telemetry, etc.) and their boundaries.</w:t>
      </w:r>
      <w:r>
        <w:t xml:space="preserve"> </w:t>
      </w:r>
      <w:r>
        <w:t xml:space="preserve">- State the rules for authoritative origin versus derived/subordinate copies.</w:t>
      </w:r>
      <w:r>
        <w:t xml:space="preserve"> </w:t>
      </w:r>
      <w:r>
        <w:t xml:space="preserve">- Document the drift classes that will be monitored (schema, semantic, provenance, authorization, identity, and contention on the authoritative source).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Target architecture description (conceptual, not implementation-specific).</w:t>
      </w:r>
      <w:r>
        <w:t xml:space="preserve"> </w:t>
      </w:r>
      <w:r>
        <w:t xml:space="preserve">- Attribute model and mapping guidance from current structures.</w:t>
      </w:r>
      <w:r>
        <w:t xml:space="preserve"> </w:t>
      </w:r>
      <w:r>
        <w:t xml:space="preserve">- Control-plane diagram or narrative.</w:t>
      </w:r>
      <w:r>
        <w:t xml:space="preserve"> </w:t>
      </w:r>
      <w:r>
        <w:t xml:space="preserve">- Drift taxonomy and detection approach outline.</w:t>
      </w:r>
      <w:r>
        <w:t xml:space="preserve"> </w:t>
      </w:r>
      <w:r>
        <w:t xml:space="preserve">- Provenance and evidence expectations for changes.</w:t>
      </w:r>
    </w:p>
    <w:p>
      <w:pPr>
        <w:pStyle w:val="BodyText"/>
      </w:pPr>
      <w:r>
        <w:rPr>
          <w:b/>
          <w:bCs/>
        </w:rPr>
        <w:t xml:space="preserve">Supporting material</w:t>
      </w:r>
      <w:r>
        <w:t xml:space="preserve"> </w:t>
      </w: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Single Source of Truth</w:t>
        </w:r>
      </w:hyperlink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From Attributes to Access (dynamic groups)</w:t>
        </w:r>
      </w:hyperlink>
      <w:r>
        <w:t xml:space="preserve"> </w:t>
      </w:r>
      <w:r>
        <w:t xml:space="preserve">-</w:t>
      </w:r>
      <w:r>
        <w:t xml:space="preserve"> </w:t>
      </w:r>
      <w:hyperlink r:id="rId24">
        <w:r>
          <w:rPr>
            <w:rStyle w:val="Hyperlink"/>
          </w:rPr>
          <w:t xml:space="preserve">Delegation Matrix</w:t>
        </w:r>
      </w:hyperlink>
      <w:r>
        <w:t xml:space="preserve"> </w:t>
      </w:r>
      <w:r>
        <w:t xml:space="preserve">-</w:t>
      </w:r>
      <w:r>
        <w:t xml:space="preserve"> </w:t>
      </w:r>
      <w:hyperlink r:id="rId25">
        <w:r>
          <w:rPr>
            <w:rStyle w:val="Hyperlink"/>
          </w:rPr>
          <w:t xml:space="preserve">Change Control and Provenance</w:t>
        </w:r>
      </w:hyperlink>
      <w:r>
        <w:t xml:space="preserve"> </w:t>
      </w:r>
      <w:r>
        <w:t xml:space="preserve">-</w:t>
      </w:r>
      <w:r>
        <w:t xml:space="preserve"> </w:t>
      </w:r>
      <w:hyperlink r:id="rId26">
        <w:r>
          <w:rPr>
            <w:rStyle w:val="Hyperlink"/>
          </w:rPr>
          <w:t xml:space="preserve">Architecture Series</w:t>
        </w:r>
      </w:hyperlink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Domain leads can explain how a given organizational fact will be expressed, how policy will attach to it, and how drift will be detected, without relying on internal decision-record numbers.</w:t>
      </w:r>
    </w:p>
    <w:bookmarkEnd w:id="27"/>
    <w:bookmarkStart w:id="37" w:name="X7399313c84031112d515c96c1549bf5b0f13d94"/>
    <w:p>
      <w:pPr>
        <w:pStyle w:val="Heading3"/>
      </w:pPr>
      <w:r>
        <w:t xml:space="preserve">Phase 3 — Domain Playbooks and Wave Planning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Produce executable playbooks for each in-scope domain and sequence them into waves.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For each domain (identity structure, policy, services/addressing, compute/device, access plane):</w:t>
      </w:r>
      <w:r>
        <w:t xml:space="preserve"> </w:t>
      </w:r>
      <w:r>
        <w:t xml:space="preserve">- Define objectives and success measures.</w:t>
      </w:r>
      <w:r>
        <w:t xml:space="preserve"> </w:t>
      </w:r>
      <w:r>
        <w:t xml:space="preserve">- Map current constructs to target constructs.</w:t>
      </w:r>
      <w:r>
        <w:t xml:space="preserve"> </w:t>
      </w:r>
      <w:r>
        <w:t xml:space="preserve">- Identify bridging or coexistence patterns.</w:t>
      </w:r>
      <w:r>
        <w:t xml:space="preserve"> </w:t>
      </w:r>
      <w:r>
        <w:t xml:space="preserve">- Specify entry criteria, exit criteria, and rollback conditions.</w:t>
      </w:r>
      <w:r>
        <w:t xml:space="preserve"> </w:t>
      </w:r>
      <w:r>
        <w:t xml:space="preserve">- Define the evidence that must be produced for each change.</w:t>
      </w:r>
      <w:r>
        <w:t xml:space="preserve"> </w:t>
      </w:r>
      <w:r>
        <w:t xml:space="preserve">- Sequence the domains into waves that respect dependencies (structure before policy, identity before compute, etc.).</w:t>
      </w:r>
      <w:r>
        <w:t xml:space="preserve"> </w:t>
      </w:r>
      <w:r>
        <w:t xml:space="preserve">- Identify any organization-specific constraints that affect sequencing.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Domain playbooks (one per major domain).</w:t>
      </w:r>
      <w:r>
        <w:t xml:space="preserve"> </w:t>
      </w:r>
      <w:r>
        <w:t xml:space="preserve">- Wave plan with sequencing, gates, and rollback triggers.</w:t>
      </w:r>
      <w:r>
        <w:t xml:space="preserve"> </w:t>
      </w:r>
      <w:r>
        <w:t xml:space="preserve">- Evidence checklist applicable to every wave.</w:t>
      </w:r>
    </w:p>
    <w:p>
      <w:pPr>
        <w:pStyle w:val="BodyText"/>
      </w:pPr>
      <w:r>
        <w:rPr>
          <w:b/>
          <w:bCs/>
        </w:rPr>
        <w:t xml:space="preserve">Supporting material</w:t>
      </w:r>
      <w:r>
        <w:t xml:space="preserve"> </w:t>
      </w:r>
      <w:r>
        <w:t xml:space="preserve">-</w:t>
      </w:r>
      <w:r>
        <w:t xml:space="preserve"> </w:t>
      </w:r>
      <w:hyperlink r:id="rId28">
        <w:r>
          <w:rPr>
            <w:rStyle w:val="Hyperlink"/>
          </w:rPr>
          <w:t xml:space="preserve">Chapter 03 — Analysis → Plan → Delivery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Chapters 04–08 — identity, policy, services, compute and access playbooks</w:t>
        </w:r>
      </w:hyperlink>
      <w:r>
        <w:t xml:space="preserve"> </w:t>
      </w:r>
      <w:r>
        <w:t xml:space="preserve">-</w:t>
      </w:r>
      <w:r>
        <w:t xml:space="preserve"> </w:t>
      </w:r>
      <w:hyperlink r:id="rId30">
        <w:r>
          <w:rPr>
            <w:rStyle w:val="Hyperlink"/>
          </w:rPr>
          <w:t xml:space="preserve">GPO Sunset Program</w:t>
        </w:r>
      </w:hyperlink>
      <w:r>
        <w:t xml:space="preserve"> </w:t>
      </w:r>
      <w:r>
        <w:t xml:space="preserve">and</w:t>
      </w:r>
      <w:r>
        <w:t xml:space="preserve"> </w:t>
      </w:r>
      <w:hyperlink r:id="rId31">
        <w:r>
          <w:rPr>
            <w:rStyle w:val="Hyperlink"/>
          </w:rPr>
          <w:t xml:space="preserve">GPO Parse and Crosswalk</w:t>
        </w:r>
      </w:hyperlink>
      <w:r>
        <w:t xml:space="preserve"> </w:t>
      </w:r>
      <w:r>
        <w:t xml:space="preserve">-</w:t>
      </w:r>
      <w:r>
        <w:t xml:space="preserve"> </w:t>
      </w:r>
      <w:hyperlink r:id="rId32">
        <w:r>
          <w:rPr>
            <w:rStyle w:val="Hyperlink"/>
          </w:rPr>
          <w:t xml:space="preserve">Conditional Access Policy Library</w:t>
        </w:r>
      </w:hyperlink>
      <w:r>
        <w:t xml:space="preserve"> </w:t>
      </w:r>
      <w:r>
        <w:t xml:space="preserve">-</w:t>
      </w:r>
      <w:r>
        <w:t xml:space="preserve"> </w:t>
      </w:r>
      <w:hyperlink r:id="rId33">
        <w:r>
          <w:rPr>
            <w:rStyle w:val="Hyperlink"/>
          </w:rPr>
          <w:t xml:space="preserve">Intune + Azure Arc Modernization</w:t>
        </w:r>
      </w:hyperlink>
      <w:r>
        <w:t xml:space="preserve"> </w:t>
      </w:r>
      <w:r>
        <w:t xml:space="preserve">-</w:t>
      </w:r>
      <w:r>
        <w:t xml:space="preserve"> </w:t>
      </w:r>
      <w:hyperlink r:id="rId34">
        <w:r>
          <w:rPr>
            <w:rStyle w:val="Hyperlink"/>
          </w:rPr>
          <w:t xml:space="preserve">DNS Modernization Guide</w:t>
        </w:r>
      </w:hyperlink>
      <w:r>
        <w:t xml:space="preserve"> </w:t>
      </w:r>
      <w:r>
        <w:t xml:space="preserve">and</w:t>
      </w:r>
      <w:r>
        <w:t xml:space="preserve"> </w:t>
      </w:r>
      <w:hyperlink r:id="rId35">
        <w:r>
          <w:rPr>
            <w:rStyle w:val="Hyperlink"/>
          </w:rPr>
          <w:t xml:space="preserve">PKI Modernization Guide</w:t>
        </w:r>
      </w:hyperlink>
      <w:r>
        <w:t xml:space="preserve"> </w:t>
      </w:r>
      <w:r>
        <w:t xml:space="preserve">-</w:t>
      </w:r>
      <w:r>
        <w:t xml:space="preserve"> </w:t>
      </w:r>
      <w:hyperlink r:id="rId36">
        <w:r>
          <w:rPr>
            <w:rStyle w:val="Hyperlink"/>
          </w:rPr>
          <w:t xml:space="preserve">Test Plans</w:t>
        </w:r>
      </w:hyperlink>
      <w:r>
        <w:t xml:space="preserve"> </w:t>
      </w:r>
      <w:r>
        <w:t xml:space="preserve">— evidence checklist inputs</w:t>
      </w:r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At least the first wave has a complete playbook that a team could execute with existing tools and processes.</w:t>
      </w:r>
    </w:p>
    <w:bookmarkEnd w:id="37"/>
    <w:bookmarkStart w:id="42" w:name="phase-4-pilot-first-wave-execution"/>
    <w:p>
      <w:pPr>
        <w:pStyle w:val="Heading3"/>
      </w:pPr>
      <w:r>
        <w:t xml:space="preserve">Phase 4 — Pilot / First Wave Execution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Execute a controlled first wave and validate the change-control and evidence pattern.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Select a limited, representative scope for the first wave (recommended: identity structure and dynamic membership for a subset of the organization).</w:t>
      </w:r>
      <w:r>
        <w:t xml:space="preserve"> </w:t>
      </w:r>
      <w:r>
        <w:t xml:space="preserve">- Originate the changes from the designated authoritative source.</w:t>
      </w:r>
      <w:r>
        <w:t xml:space="preserve"> </w:t>
      </w:r>
      <w:r>
        <w:t xml:space="preserve">- Execute under least-privilege / just-in-time elevation.</w:t>
      </w:r>
      <w:r>
        <w:t xml:space="preserve"> </w:t>
      </w:r>
      <w:r>
        <w:t xml:space="preserve">- Close each change with provenance and collect the required evidence.</w:t>
      </w:r>
      <w:r>
        <w:t xml:space="preserve"> </w:t>
      </w:r>
      <w:r>
        <w:t xml:space="preserve">- Detect and classify any drift that appears during or after the wave.</w:t>
      </w:r>
      <w:r>
        <w:t xml:space="preserve"> </w:t>
      </w:r>
      <w:r>
        <w:t xml:space="preserve">- Conduct a lessons-learned review.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Executed first-wave changes with provenance records.</w:t>
      </w:r>
      <w:r>
        <w:t xml:space="preserve"> </w:t>
      </w:r>
      <w:r>
        <w:t xml:space="preserve">- Evidence package.</w:t>
      </w:r>
      <w:r>
        <w:t xml:space="preserve"> </w:t>
      </w:r>
      <w:r>
        <w:t xml:space="preserve">- Drift findings (if any) and remediation notes.</w:t>
      </w:r>
      <w:r>
        <w:t xml:space="preserve"> </w:t>
      </w:r>
      <w:r>
        <w:t xml:space="preserve">- Updated playbooks and wave plan based on lessons learned.</w:t>
      </w:r>
    </w:p>
    <w:p>
      <w:pPr>
        <w:pStyle w:val="BodyText"/>
      </w:pPr>
      <w:r>
        <w:rPr>
          <w:b/>
          <w:bCs/>
        </w:rPr>
        <w:t xml:space="preserve">Supporting material</w:t>
      </w:r>
      <w:r>
        <w:t xml:space="preserve"> </w:t>
      </w:r>
      <w:r>
        <w:t xml:space="preserve">-</w:t>
      </w:r>
      <w:r>
        <w:t xml:space="preserve"> </w:t>
      </w:r>
      <w:hyperlink r:id="rId38">
        <w:r>
          <w:rPr>
            <w:rStyle w:val="Hyperlink"/>
          </w:rPr>
          <w:t xml:space="preserve">Chapter 09 — Migration Roadmap: Phased Plan, Gates, Rollback</w:t>
        </w:r>
      </w:hyperlink>
      <w:r>
        <w:t xml:space="preserve"> </w:t>
      </w: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PIM Self-Request with Approval</w:t>
        </w:r>
      </w:hyperlink>
      <w:r>
        <w:t xml:space="preserve"> </w:t>
      </w:r>
      <w:r>
        <w:t xml:space="preserve">— just-in-time elevation for wave execution</w:t>
      </w:r>
      <w:r>
        <w:t xml:space="preserve"> </w:t>
      </w: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HR-Driven Identity</w:t>
        </w:r>
      </w:hyperlink>
      <w:r>
        <w:t xml:space="preserve"> </w:t>
      </w:r>
      <w:r>
        <w:t xml:space="preserve">— originating changes from the authoritative source</w:t>
      </w:r>
      <w:r>
        <w:t xml:space="preserve"> </w:t>
      </w: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End User Training Guide</w:t>
        </w:r>
      </w:hyperlink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The organization has demonstrated that a change can originate from the authoritative source, execute under controlled privilege, close with provenance, and be validated against the intended state.</w:t>
      </w:r>
    </w:p>
    <w:bookmarkEnd w:id="42"/>
    <w:bookmarkStart w:id="47" w:name="Xfd4a141572afa786a21c521ed3b2fee06559d5d"/>
    <w:p>
      <w:pPr>
        <w:pStyle w:val="Heading3"/>
      </w:pPr>
      <w:r>
        <w:t xml:space="preserve">Phase 5 — Progressive Rollout and Steady-State Governance</w:t>
      </w:r>
    </w:p>
    <w:p>
      <w:pPr>
        <w:pStyle w:val="FirstParagraph"/>
      </w:pPr>
      <w:r>
        <w:rPr>
          <w:b/>
          <w:bCs/>
        </w:rPr>
        <w:t xml:space="preserve">Objective:</w:t>
      </w:r>
      <w:r>
        <w:t xml:space="preserve"> </w:t>
      </w:r>
      <w:r>
        <w:t xml:space="preserve">Extend the pattern across remaining domains and establish ongoing drift detection and evidence practices.</w:t>
      </w:r>
    </w:p>
    <w:p>
      <w:pPr>
        <w:pStyle w:val="BodyText"/>
      </w:pPr>
      <w:r>
        <w:rPr>
          <w:b/>
          <w:bCs/>
        </w:rPr>
        <w:t xml:space="preserve">Key activities</w:t>
      </w:r>
      <w:r>
        <w:t xml:space="preserve"> </w:t>
      </w:r>
      <w:r>
        <w:t xml:space="preserve">- Execute subsequent waves according to the updated plan.</w:t>
      </w:r>
      <w:r>
        <w:t xml:space="preserve"> </w:t>
      </w:r>
      <w:r>
        <w:t xml:space="preserve">- Expand the attribute model and dynamic constructs as additional domains are brought under the target architecture.</w:t>
      </w:r>
      <w:r>
        <w:t xml:space="preserve"> </w:t>
      </w:r>
      <w:r>
        <w:t xml:space="preserve">- Stand up or refine continuous drift detection against the authoritative origin.</w:t>
      </w:r>
      <w:r>
        <w:t xml:space="preserve"> </w:t>
      </w:r>
      <w:r>
        <w:t xml:space="preserve">- Transition from project-mode change control to steady-state operational governance.</w:t>
      </w:r>
      <w:r>
        <w:t xml:space="preserve"> </w:t>
      </w:r>
      <w:r>
        <w:t xml:space="preserve">- Capture residual risks and any items that remain outside the modernization scope.</w:t>
      </w:r>
    </w:p>
    <w:p>
      <w:pPr>
        <w:pStyle w:val="BodyText"/>
      </w:pPr>
      <w:r>
        <w:rPr>
          <w:b/>
          <w:bCs/>
        </w:rPr>
        <w:t xml:space="preserve">Deliverables</w:t>
      </w:r>
      <w:r>
        <w:t xml:space="preserve"> </w:t>
      </w:r>
      <w:r>
        <w:t xml:space="preserve">- Completed domain transformations (or documented residual scope).</w:t>
      </w:r>
      <w:r>
        <w:t xml:space="preserve"> </w:t>
      </w:r>
      <w:r>
        <w:t xml:space="preserve">- Operational drift detection and evidence process.</w:t>
      </w:r>
      <w:r>
        <w:t xml:space="preserve"> </w:t>
      </w:r>
      <w:r>
        <w:t xml:space="preserve">- Final project report with outcomes against success criteria.</w:t>
      </w:r>
      <w:r>
        <w:t xml:space="preserve"> </w:t>
      </w:r>
      <w:r>
        <w:t xml:space="preserve">- Recommendations for ongoing ownership.</w:t>
      </w:r>
    </w:p>
    <w:p>
      <w:pPr>
        <w:pStyle w:val="BodyText"/>
      </w:pPr>
      <w:r>
        <w:rPr>
          <w:b/>
          <w:bCs/>
        </w:rPr>
        <w:t xml:space="preserve">Supporting material</w:t>
      </w:r>
      <w:r>
        <w:t xml:space="preserve"> </w:t>
      </w: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Continuous Monitoring Strategy</w:t>
        </w:r>
      </w:hyperlink>
      <w:r>
        <w:t xml:space="preserve"> </w:t>
      </w: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Gap Closure Register</w:t>
        </w:r>
      </w:hyperlink>
      <w:r>
        <w:t xml:space="preserve"> </w:t>
      </w: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Training Program</w:t>
        </w:r>
      </w:hyperlink>
      <w:r>
        <w:t xml:space="preserve"> </w:t>
      </w:r>
      <w:r>
        <w:t xml:space="preserve">and</w:t>
      </w:r>
      <w:r>
        <w:t xml:space="preserve"> </w:t>
      </w:r>
      <w:hyperlink r:id="rId46">
        <w:r>
          <w:rPr>
            <w:rStyle w:val="Hyperlink"/>
          </w:rPr>
          <w:t xml:space="preserve">Education Program</w:t>
        </w:r>
      </w:hyperlink>
    </w:p>
    <w:p>
      <w:pPr>
        <w:pStyle w:val="BodyText"/>
      </w:pPr>
      <w:r>
        <w:rPr>
          <w:b/>
          <w:bCs/>
        </w:rPr>
        <w:t xml:space="preserve">Exit criteria</w:t>
      </w:r>
      <w:r>
        <w:t xml:space="preserve"> </w:t>
      </w:r>
      <w:r>
        <w:t xml:space="preserve">- Success criteria from the charter are met or explicitly deferred with rationale.</w:t>
      </w:r>
      <w:r>
        <w:t xml:space="preserve"> </w:t>
      </w:r>
      <w:r>
        <w:t xml:space="preserve">- Ownership for the authoritative origin and drift detection has transferred to steady-state operations.</w:t>
      </w:r>
    </w:p>
    <w:bookmarkEnd w:id="47"/>
    <w:bookmarkEnd w:id="48"/>
    <w:bookmarkStart w:id="57" w:name="domain-workstreams-summary"/>
    <w:p>
      <w:pPr>
        <w:pStyle w:val="Heading2"/>
      </w:pPr>
      <w:r>
        <w:t xml:space="preserve">4. Domain Workstreams (Summary)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31"/>
        <w:gridCol w:w="1747"/>
        <w:gridCol w:w="2562"/>
        <w:gridCol w:w="2329"/>
        <w:gridCol w:w="34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Primary Focus</w:t>
            </w:r>
          </w:p>
        </w:tc>
        <w:tc>
          <w:tcPr/>
          <w:p>
            <w:pPr>
              <w:pStyle w:val="Compact"/>
            </w:pPr>
            <w:r>
              <w:t xml:space="preserve">Typical Dependencies</w:t>
            </w:r>
          </w:p>
        </w:tc>
        <w:tc>
          <w:tcPr/>
          <w:p>
            <w:pPr>
              <w:pStyle w:val="Compact"/>
            </w:pPr>
            <w:r>
              <w:t xml:space="preserve">Suggested Position</w:t>
            </w:r>
          </w:p>
        </w:tc>
        <w:tc>
          <w:tcPr/>
          <w:p>
            <w:pPr>
              <w:pStyle w:val="Compact"/>
            </w:pPr>
            <w:r>
              <w:t xml:space="preserve">Detailed project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structure</w:t>
            </w:r>
          </w:p>
        </w:tc>
        <w:tc>
          <w:tcPr/>
          <w:p>
            <w:pPr>
              <w:pStyle w:val="Compact"/>
            </w:pPr>
            <w:r>
              <w:t xml:space="preserve">Attribute model, dynamic membership, lifecycle origin</w:t>
            </w:r>
          </w:p>
        </w:tc>
        <w:tc>
          <w:tcPr/>
          <w:p>
            <w:pPr>
              <w:pStyle w:val="Compact"/>
            </w:pPr>
            <w:r>
              <w:t xml:space="preserve">Assessment complete</w:t>
            </w:r>
          </w:p>
        </w:tc>
        <w:tc>
          <w:tcPr/>
          <w:p>
            <w:pPr>
              <w:pStyle w:val="Compact"/>
            </w:pPr>
            <w:r>
              <w:t xml:space="preserve">Early (Wave 1)</w:t>
            </w:r>
          </w:p>
        </w:tc>
        <w:tc>
          <w:tcPr/>
          <w:p>
            <w:pPr>
              <w:pStyle w:val="Compact"/>
            </w:pPr>
            <w:hyperlink r:id="rId49">
              <w:r>
                <w:rPr>
                  <w:rStyle w:val="Hyperlink"/>
                </w:rPr>
                <w:t xml:space="preserve">Identity Lifecycle &amp; Provisioning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Mapping of existing policy to attribute-driven scope</w:t>
            </w:r>
          </w:p>
        </w:tc>
        <w:tc>
          <w:tcPr/>
          <w:p>
            <w:pPr>
              <w:pStyle w:val="Compact"/>
            </w:pPr>
            <w:r>
              <w:t xml:space="preserve">Identity structure</w:t>
            </w:r>
          </w:p>
        </w:tc>
        <w:tc>
          <w:tcPr/>
          <w:p>
            <w:pPr>
              <w:pStyle w:val="Compact"/>
            </w:pPr>
            <w:r>
              <w:t xml:space="preserve">After identity</w:t>
            </w:r>
          </w:p>
        </w:tc>
        <w:tc>
          <w:tcPr/>
          <w:p>
            <w:pPr>
              <w:pStyle w:val="Compact"/>
            </w:pPr>
            <w:r>
              <w:t xml:space="preserve">Playbooks: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GPO Sunset Program</w:t>
              </w:r>
            </w:hyperlink>
            <w:r>
              <w:t xml:space="preserve">,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Conditional Access Policy Library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Services / Addressing</w:t>
            </w:r>
          </w:p>
        </w:tc>
        <w:tc>
          <w:tcPr/>
          <w:p>
            <w:pPr>
              <w:pStyle w:val="Compact"/>
            </w:pPr>
            <w:r>
              <w:t xml:space="preserve">Naming, IP management, related dependencies</w:t>
            </w:r>
          </w:p>
        </w:tc>
        <w:tc>
          <w:tcPr/>
          <w:p>
            <w:pPr>
              <w:pStyle w:val="Compact"/>
            </w:pPr>
            <w:r>
              <w:t xml:space="preserve">Assessment; may bridge</w:t>
            </w:r>
          </w:p>
        </w:tc>
        <w:tc>
          <w:tcPr/>
          <w:p>
            <w:pPr>
              <w:pStyle w:val="Compact"/>
            </w:pPr>
            <w:r>
              <w:t xml:space="preserve">Parallel or mid</w:t>
            </w:r>
          </w:p>
        </w:tc>
        <w:tc>
          <w:tcPr/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Network &amp; Access Modernization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Compute / Device</w:t>
            </w:r>
          </w:p>
        </w:tc>
        <w:tc>
          <w:tcPr/>
          <w:p>
            <w:pPr>
              <w:pStyle w:val="Compact"/>
            </w:pPr>
            <w:r>
              <w:t xml:space="preserve">Device identity and management alignment</w:t>
            </w:r>
          </w:p>
        </w:tc>
        <w:tc>
          <w:tcPr/>
          <w:p>
            <w:pPr>
              <w:pStyle w:val="Compact"/>
            </w:pPr>
            <w:r>
              <w:t xml:space="preserve">Identity structure</w:t>
            </w:r>
          </w:p>
        </w:tc>
        <w:tc>
          <w:tcPr/>
          <w:p>
            <w:pPr>
              <w:pStyle w:val="Compact"/>
            </w:pPr>
            <w:r>
              <w:t xml:space="preserve">Mid to late</w:t>
            </w:r>
          </w:p>
        </w:tc>
        <w:tc>
          <w:tcPr/>
          <w:p>
            <w:pPr>
              <w:pStyle w:val="Compact"/>
            </w:pPr>
            <w:hyperlink r:id="rId51">
              <w:r>
                <w:rPr>
                  <w:rStyle w:val="Hyperlink"/>
                </w:rPr>
                <w:t xml:space="preserve">Endpoint &amp; Device Modernization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Access plane</w:t>
            </w:r>
          </w:p>
        </w:tc>
        <w:tc>
          <w:tcPr/>
          <w:p>
            <w:pPr>
              <w:pStyle w:val="Compact"/>
            </w:pPr>
            <w:r>
              <w:t xml:space="preserve">Token-based / application-aware access patterns</w:t>
            </w:r>
          </w:p>
        </w:tc>
        <w:tc>
          <w:tcPr/>
          <w:p>
            <w:pPr>
              <w:pStyle w:val="Compact"/>
            </w:pPr>
            <w:r>
              <w:t xml:space="preserve">Identity and policy</w:t>
            </w:r>
          </w:p>
        </w:tc>
        <w:tc>
          <w:tcPr/>
          <w:p>
            <w:pPr>
              <w:pStyle w:val="Compact"/>
            </w:pPr>
            <w:r>
              <w:t xml:space="preserve">Later</w:t>
            </w:r>
          </w:p>
        </w:tc>
        <w:tc>
          <w:tcPr/>
          <w:p>
            <w:pPr>
              <w:pStyle w:val="Compact"/>
            </w:pPr>
            <w:hyperlink r:id="rId50">
              <w:r>
                <w:rPr>
                  <w:rStyle w:val="Hyperlink"/>
                </w:rPr>
                <w:t xml:space="preserve">Network &amp; Access Modernization</w:t>
              </w:r>
            </w:hyperlink>
          </w:p>
        </w:tc>
      </w:tr>
    </w:tbl>
    <w:p>
      <w:pPr>
        <w:pStyle w:val="BodyText"/>
      </w:pPr>
      <w:r>
        <w:t xml:space="preserve">Further detailed projects that run alongside these workstreams:</w:t>
      </w:r>
      <w:r>
        <w:t xml:space="preserve"> </w:t>
      </w:r>
      <w:hyperlink r:id="rId52">
        <w:r>
          <w:rPr>
            <w:rStyle w:val="Hyperlink"/>
          </w:rPr>
          <w:t xml:space="preserve">Privileged Access &amp; Administrative Identity</w:t>
        </w:r>
      </w:hyperlink>
      <w:r>
        <w:t xml:space="preserve">,</w:t>
      </w:r>
      <w:r>
        <w:t xml:space="preserve"> </w:t>
      </w:r>
      <w:hyperlink r:id="rId53">
        <w:r>
          <w:rPr>
            <w:rStyle w:val="Hyperlink"/>
          </w:rPr>
          <w:t xml:space="preserve">Data Platform Identity Transformation</w:t>
        </w:r>
      </w:hyperlink>
      <w:r>
        <w:t xml:space="preserve">,</w:t>
      </w:r>
      <w:r>
        <w:t xml:space="preserve"> </w:t>
      </w:r>
      <w:hyperlink r:id="rId54">
        <w:r>
          <w:rPr>
            <w:rStyle w:val="Hyperlink"/>
          </w:rPr>
          <w:t xml:space="preserve">Continuous Monitoring &amp; Evidence Fabric</w:t>
        </w:r>
      </w:hyperlink>
      <w:r>
        <w:t xml:space="preserve">, and</w:t>
      </w:r>
      <w:r>
        <w:t xml:space="preserve"> </w:t>
      </w:r>
      <w:hyperlink r:id="rId55">
        <w:r>
          <w:rPr>
            <w:rStyle w:val="Hyperlink"/>
          </w:rPr>
          <w:t xml:space="preserve">Supply Chain &amp; Software Bill of Materials</w:t>
        </w:r>
      </w:hyperlink>
      <w:r>
        <w:t xml:space="preserve">. Each has a charter and a plan; see</w:t>
      </w:r>
      <w:r>
        <w:t xml:space="preserve"> </w:t>
      </w:r>
      <w:hyperlink r:id="rId56">
        <w:r>
          <w:rPr>
            <w:rStyle w:val="Hyperlink"/>
          </w:rPr>
          <w:t xml:space="preserve">Complementary Modernization Projects</w:t>
        </w:r>
      </w:hyperlink>
      <w:r>
        <w:t xml:space="preserve">.</w:t>
      </w:r>
    </w:p>
    <w:bookmarkEnd w:id="57"/>
    <w:bookmarkStart w:id="58" w:name="governance-and-decision-rights"/>
    <w:p>
      <w:pPr>
        <w:pStyle w:val="Heading2"/>
      </w:pPr>
      <w:r>
        <w:t xml:space="preserve">5. Governance and Decision Rights</w:t>
      </w:r>
    </w:p>
    <w:p>
      <w:pPr>
        <w:pStyle w:val="Compact"/>
        <w:numPr>
          <w:ilvl w:val="0"/>
          <w:numId w:val="1002"/>
        </w:numPr>
      </w:pPr>
      <w:r>
        <w:t xml:space="preserve">Sponsor approves scope changes, major sequencing shifts, and acceptance of residual risk.</w:t>
      </w:r>
    </w:p>
    <w:p>
      <w:pPr>
        <w:pStyle w:val="Compact"/>
        <w:numPr>
          <w:ilvl w:val="0"/>
          <w:numId w:val="1002"/>
        </w:numPr>
      </w:pPr>
      <w:r>
        <w:t xml:space="preserve">Project lead owns the overall plan, wave sequencing, and cross-domain dependencies.</w:t>
      </w:r>
    </w:p>
    <w:p>
      <w:pPr>
        <w:pStyle w:val="Compact"/>
        <w:numPr>
          <w:ilvl w:val="0"/>
          <w:numId w:val="1002"/>
        </w:numPr>
      </w:pPr>
      <w:r>
        <w:t xml:space="preserve">Domain leads own playbook content, execution readiness, and domain-specific evidence.</w:t>
      </w:r>
    </w:p>
    <w:p>
      <w:pPr>
        <w:pStyle w:val="Compact"/>
        <w:numPr>
          <w:ilvl w:val="0"/>
          <w:numId w:val="1002"/>
        </w:numPr>
      </w:pPr>
      <w:r>
        <w:t xml:space="preserve">All material changes to the target architecture or authoritative-origin rules require project-lead and sponsor concurrence.</w:t>
      </w:r>
    </w:p>
    <w:bookmarkEnd w:id="58"/>
    <w:bookmarkStart w:id="59" w:name="risks-and-mitigations-selected"/>
    <w:p>
      <w:pPr>
        <w:pStyle w:val="Heading2"/>
      </w:pPr>
      <w:r>
        <w:t xml:space="preserve">6. Risks and Mitigations (Selected)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52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Incomplete discovery of hidden dependencies</w:t>
            </w:r>
          </w:p>
        </w:tc>
        <w:tc>
          <w:tcPr/>
          <w:p>
            <w:pPr>
              <w:pStyle w:val="Compact"/>
            </w:pPr>
            <w:r>
              <w:t xml:space="preserve">Structured assessment checklist; pilot wave designed to surface unknowns early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Competing sources of truth persist</w:t>
            </w:r>
          </w:p>
        </w:tc>
        <w:tc>
          <w:tcPr/>
          <w:p>
            <w:pPr>
              <w:pStyle w:val="Compact"/>
            </w:pPr>
            <w:r>
              <w:t xml:space="preserve">Explicit designation of authoritative origin per object class; drift class for contention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Organizational resistance to making authority explicit</w:t>
            </w:r>
          </w:p>
        </w:tc>
        <w:tc>
          <w:tcPr/>
          <w:p>
            <w:pPr>
              <w:pStyle w:val="Compact"/>
            </w:pPr>
            <w:r>
              <w:t xml:space="preserve">Early stakeholder alignment; pilot that demonstrates controlled rather than disruptive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Tooling leads the design</w:t>
            </w:r>
          </w:p>
        </w:tc>
        <w:tc>
          <w:tcPr/>
          <w:p>
            <w:pPr>
              <w:pStyle w:val="Compact"/>
            </w:pPr>
            <w:r>
              <w:t xml:space="preserve">Target architecture and change-control pattern defined before tool selection or configuration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Physics / residency limits on centralization</w:t>
            </w:r>
          </w:p>
        </w:tc>
        <w:tc>
          <w:tcPr/>
          <w:p>
            <w:pPr>
              <w:pStyle w:val="Compact"/>
            </w:pPr>
            <w:r>
              <w:t xml:space="preserve">Logical centralization of truth; physical distribution of subordinate copies only</w:t>
            </w:r>
          </w:p>
        </w:tc>
      </w:tr>
    </w:tbl>
    <w:bookmarkEnd w:id="59"/>
    <w:bookmarkStart w:id="60" w:name="success-measures-project-level"/>
    <w:p>
      <w:pPr>
        <w:pStyle w:val="Heading2"/>
      </w:pPr>
      <w:r>
        <w:t xml:space="preserve">7. Success Measures (Project Level)</w:t>
      </w:r>
    </w:p>
    <w:p>
      <w:pPr>
        <w:pStyle w:val="Compact"/>
        <w:numPr>
          <w:ilvl w:val="0"/>
          <w:numId w:val="1003"/>
        </w:numPr>
      </w:pPr>
      <w:r>
        <w:t xml:space="preserve">Current-state assessment completed and accepted.</w:t>
      </w:r>
    </w:p>
    <w:p>
      <w:pPr>
        <w:pStyle w:val="Compact"/>
        <w:numPr>
          <w:ilvl w:val="0"/>
          <w:numId w:val="1003"/>
        </w:numPr>
      </w:pPr>
      <w:r>
        <w:t xml:space="preserve">Target architecture documented and understood by domain leads.</w:t>
      </w:r>
    </w:p>
    <w:p>
      <w:pPr>
        <w:pStyle w:val="Compact"/>
        <w:numPr>
          <w:ilvl w:val="0"/>
          <w:numId w:val="1003"/>
        </w:numPr>
      </w:pPr>
      <w:r>
        <w:t xml:space="preserve">First wave executed with full provenance and evidence.</w:t>
      </w:r>
    </w:p>
    <w:p>
      <w:pPr>
        <w:pStyle w:val="Compact"/>
        <w:numPr>
          <w:ilvl w:val="0"/>
          <w:numId w:val="1003"/>
        </w:numPr>
      </w:pPr>
      <w:r>
        <w:t xml:space="preserve">Drift detection approach operational for the domains in scope.</w:t>
      </w:r>
    </w:p>
    <w:p>
      <w:pPr>
        <w:pStyle w:val="Compact"/>
        <w:numPr>
          <w:ilvl w:val="0"/>
          <w:numId w:val="1003"/>
        </w:numPr>
      </w:pPr>
      <w:r>
        <w:t xml:space="preserve">Residual risks documented and ownership assigned.</w:t>
      </w:r>
    </w:p>
    <w:p>
      <w:pPr>
        <w:pStyle w:val="Compact"/>
        <w:numPr>
          <w:ilvl w:val="0"/>
          <w:numId w:val="1003"/>
        </w:numPr>
      </w:pPr>
      <w:r>
        <w:t xml:space="preserve">Leadership can describe the modernization path and outcomes without reference to internal technical decision records.</w:t>
      </w:r>
    </w:p>
    <w:bookmarkEnd w:id="60"/>
    <w:bookmarkStart w:id="61" w:name="immediate-next-actions"/>
    <w:p>
      <w:pPr>
        <w:pStyle w:val="Heading2"/>
      </w:pPr>
      <w:r>
        <w:t xml:space="preserve">8. Immediate Next Actions</w:t>
      </w:r>
    </w:p>
    <w:p>
      <w:pPr>
        <w:pStyle w:val="Compact"/>
        <w:numPr>
          <w:ilvl w:val="0"/>
          <w:numId w:val="1004"/>
        </w:numPr>
      </w:pPr>
      <w:r>
        <w:t xml:space="preserve">Review and accept this plan against the Project Charter.</w:t>
      </w:r>
    </w:p>
    <w:p>
      <w:pPr>
        <w:pStyle w:val="Compact"/>
        <w:numPr>
          <w:ilvl w:val="0"/>
          <w:numId w:val="1004"/>
        </w:numPr>
      </w:pPr>
      <w:r>
        <w:t xml:space="preserve">Confirm Phase 0 stakeholders and decision rights.</w:t>
      </w:r>
    </w:p>
    <w:p>
      <w:pPr>
        <w:pStyle w:val="Compact"/>
        <w:numPr>
          <w:ilvl w:val="0"/>
          <w:numId w:val="1004"/>
        </w:numPr>
      </w:pPr>
      <w:r>
        <w:t xml:space="preserve">Scope the Phase 1 assessment (data sources, access, timeline).</w:t>
      </w:r>
    </w:p>
    <w:p>
      <w:pPr>
        <w:pStyle w:val="Compact"/>
        <w:numPr>
          <w:ilvl w:val="0"/>
          <w:numId w:val="1004"/>
        </w:numPr>
      </w:pPr>
      <w:r>
        <w:t xml:space="preserve">Identify the candidate authoritative origin(s) for human identity lifecycle events.</w:t>
      </w:r>
    </w:p>
    <w:p>
      <w:pPr>
        <w:pStyle w:val="Compact"/>
        <w:numPr>
          <w:ilvl w:val="0"/>
          <w:numId w:val="1004"/>
        </w:numPr>
      </w:pPr>
      <w:r>
        <w:t xml:space="preserve">Draft the outline of the target attribute model.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plan is a project artifact. It incorporates the modernization concepts of authoritative origin, attribute-driven structure, explicit drift, and controlled evidence-producing change. It contains no internal architectural decision record identifiers or substrate-specific document numbers.</w:t>
      </w:r>
    </w:p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docs/PRINCIPLES.md" TargetMode="External" /><Relationship Type="http://schemas.openxmlformats.org/officeDocument/2006/relationships/hyperlink" Id="rId26" Target="docs/architecture/architecture-series/README.md" TargetMode="External" /><Relationship Type="http://schemas.openxmlformats.org/officeDocument/2006/relationships/hyperlink" Id="rId25" Target="docs/architecture/change-control-and-provenance.md" TargetMode="External" /><Relationship Type="http://schemas.openxmlformats.org/officeDocument/2006/relationships/hyperlink" Id="rId43" Target="docs/architecture/continuous-monitoring-strategy.md" TargetMode="External" /><Relationship Type="http://schemas.openxmlformats.org/officeDocument/2006/relationships/hyperlink" Id="rId24" Target="docs/architecture/delegation-matrix.md" TargetMode="External" /><Relationship Type="http://schemas.openxmlformats.org/officeDocument/2006/relationships/hyperlink" Id="rId44" Target="docs/architecture/gap-closure-register.md" TargetMode="External" /><Relationship Type="http://schemas.openxmlformats.org/officeDocument/2006/relationships/hyperlink" Id="rId19" Target="docs/architecture/gpo-to-cloud-governance-gaps.md" TargetMode="External" /><Relationship Type="http://schemas.openxmlformats.org/officeDocument/2006/relationships/hyperlink" Id="rId18" Target="docs/architecture/identity-directory-transformation-inventory.md" TargetMode="External" /><Relationship Type="http://schemas.openxmlformats.org/officeDocument/2006/relationships/hyperlink" Id="rId22" Target="docs/architecture/single-source-of-truth.md" TargetMode="External" /><Relationship Type="http://schemas.openxmlformats.org/officeDocument/2006/relationships/hyperlink" Id="rId11" Target="docs/client-server-to-hybrid-cloud/00-prologue-why-modernization-is-hard.md" TargetMode="External" /><Relationship Type="http://schemas.openxmlformats.org/officeDocument/2006/relationships/hyperlink" Id="rId13" Target="docs/client-server-to-hybrid-cloud/00-the-problem.md" TargetMode="External" /><Relationship Type="http://schemas.openxmlformats.org/officeDocument/2006/relationships/hyperlink" Id="rId17" Target="docs/client-server-to-hybrid-cloud/02-analyzing-the-estate.md" TargetMode="External" /><Relationship Type="http://schemas.openxmlformats.org/officeDocument/2006/relationships/hyperlink" Id="rId28" Target="docs/client-server-to-hybrid-cloud/03-analysis-plan-delivery.md" TargetMode="External" /><Relationship Type="http://schemas.openxmlformats.org/officeDocument/2006/relationships/hyperlink" Id="rId29" Target="docs/client-server-to-hybrid-cloud/04-identity-transformation.md" TargetMode="External" /><Relationship Type="http://schemas.openxmlformats.org/officeDocument/2006/relationships/hyperlink" Id="rId38" Target="docs/client-server-to-hybrid-cloud/09-migration-roadmap.md" TargetMode="External" /><Relationship Type="http://schemas.openxmlformats.org/officeDocument/2006/relationships/hyperlink" Id="rId14" Target="docs/client-server-to-hybrid-cloud/10-leadership-takeaway.md" TargetMode="External" /><Relationship Type="http://schemas.openxmlformats.org/officeDocument/2006/relationships/hyperlink" Id="rId23" Target="docs/hr-driven-iam/08-from-attributes-to-access.md" TargetMode="External" /><Relationship Type="http://schemas.openxmlformats.org/officeDocument/2006/relationships/hyperlink" Id="rId40" Target="docs/hr-driven-iam/index.md" TargetMode="External" /><Relationship Type="http://schemas.openxmlformats.org/officeDocument/2006/relationships/hyperlink" Id="rId20" Target="docs/learning/old-ad-vs-new-entra-reference.md" TargetMode="External" /><Relationship Type="http://schemas.openxmlformats.org/officeDocument/2006/relationships/hyperlink" Id="rId32" Target="docs/operational-guides/conditional-access-policy-library.md" TargetMode="External" /><Relationship Type="http://schemas.openxmlformats.org/officeDocument/2006/relationships/hyperlink" Id="rId34" Target="docs/operational-guides/dns-modernization.md" TargetMode="External" /><Relationship Type="http://schemas.openxmlformats.org/officeDocument/2006/relationships/hyperlink" Id="rId41" Target="docs/operational-guides/end-user-training.md" TargetMode="External" /><Relationship Type="http://schemas.openxmlformats.org/officeDocument/2006/relationships/hyperlink" Id="rId31" Target="docs/operational-guides/gpo-modernization-parse-crosswalk.md" TargetMode="External" /><Relationship Type="http://schemas.openxmlformats.org/officeDocument/2006/relationships/hyperlink" Id="rId30" Target="docs/operational-guides/gpo-sunset-program.md" TargetMode="External" /><Relationship Type="http://schemas.openxmlformats.org/officeDocument/2006/relationships/hyperlink" Id="rId33" Target="docs/operational-guides/intune-arc-modernization/README.md" TargetMode="External" /><Relationship Type="http://schemas.openxmlformats.org/officeDocument/2006/relationships/hyperlink" Id="rId39" Target="docs/operational-guides/pim-self-request-approval.md" TargetMode="External" /><Relationship Type="http://schemas.openxmlformats.org/officeDocument/2006/relationships/hyperlink" Id="rId35" Target="docs/operational-guides/pki-modernization.md" TargetMode="External" /><Relationship Type="http://schemas.openxmlformats.org/officeDocument/2006/relationships/hyperlink" Id="rId16" Target="docs/operational-guides/read-only-ad-assessment.md" TargetMode="External" /><Relationship Type="http://schemas.openxmlformats.org/officeDocument/2006/relationships/hyperlink" Id="rId46" Target="docs/program/education.md" TargetMode="External" /><Relationship Type="http://schemas.openxmlformats.org/officeDocument/2006/relationships/hyperlink" Id="rId36" Target="docs/program/test-plans.md" TargetMode="External" /><Relationship Type="http://schemas.openxmlformats.org/officeDocument/2006/relationships/hyperlink" Id="rId45" Target="docs/program/training.md" TargetMode="External" /><Relationship Type="http://schemas.openxmlformats.org/officeDocument/2006/relationships/hyperlink" Id="rId56" Target="docs/projects/README.md" TargetMode="External" /><Relationship Type="http://schemas.openxmlformats.org/officeDocument/2006/relationships/hyperlink" Id="rId54" Target="docs/projects/continuous-monitoring-charter.md" TargetMode="External" /><Relationship Type="http://schemas.openxmlformats.org/officeDocument/2006/relationships/hyperlink" Id="rId53" Target="docs/projects/data-platform-charter.md" TargetMode="External" /><Relationship Type="http://schemas.openxmlformats.org/officeDocument/2006/relationships/hyperlink" Id="rId51" Target="docs/projects/endpoint-device-charter.md" TargetMode="External" /><Relationship Type="http://schemas.openxmlformats.org/officeDocument/2006/relationships/hyperlink" Id="rId49" Target="docs/projects/identity-lifecycle-charter.md" TargetMode="External" /><Relationship Type="http://schemas.openxmlformats.org/officeDocument/2006/relationships/hyperlink" Id="rId50" Target="docs/projects/network-access-charter.md" TargetMode="External" /><Relationship Type="http://schemas.openxmlformats.org/officeDocument/2006/relationships/hyperlink" Id="rId52" Target="docs/projects/privileged-access-charter.md" TargetMode="External" /><Relationship Type="http://schemas.openxmlformats.org/officeDocument/2006/relationships/hyperlink" Id="rId55" Target="docs/projects/supply-chain-charter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docs/PRINCIPLES.md" TargetMode="External" /><Relationship Type="http://schemas.openxmlformats.org/officeDocument/2006/relationships/hyperlink" Id="rId26" Target="docs/architecture/architecture-series/README.md" TargetMode="External" /><Relationship Type="http://schemas.openxmlformats.org/officeDocument/2006/relationships/hyperlink" Id="rId25" Target="docs/architecture/change-control-and-provenance.md" TargetMode="External" /><Relationship Type="http://schemas.openxmlformats.org/officeDocument/2006/relationships/hyperlink" Id="rId43" Target="docs/architecture/continuous-monitoring-strategy.md" TargetMode="External" /><Relationship Type="http://schemas.openxmlformats.org/officeDocument/2006/relationships/hyperlink" Id="rId24" Target="docs/architecture/delegation-matrix.md" TargetMode="External" /><Relationship Type="http://schemas.openxmlformats.org/officeDocument/2006/relationships/hyperlink" Id="rId44" Target="docs/architecture/gap-closure-register.md" TargetMode="External" /><Relationship Type="http://schemas.openxmlformats.org/officeDocument/2006/relationships/hyperlink" Id="rId19" Target="docs/architecture/gpo-to-cloud-governance-gaps.md" TargetMode="External" /><Relationship Type="http://schemas.openxmlformats.org/officeDocument/2006/relationships/hyperlink" Id="rId18" Target="docs/architecture/identity-directory-transformation-inventory.md" TargetMode="External" /><Relationship Type="http://schemas.openxmlformats.org/officeDocument/2006/relationships/hyperlink" Id="rId22" Target="docs/architecture/single-source-of-truth.md" TargetMode="External" /><Relationship Type="http://schemas.openxmlformats.org/officeDocument/2006/relationships/hyperlink" Id="rId11" Target="docs/client-server-to-hybrid-cloud/00-prologue-why-modernization-is-hard.md" TargetMode="External" /><Relationship Type="http://schemas.openxmlformats.org/officeDocument/2006/relationships/hyperlink" Id="rId13" Target="docs/client-server-to-hybrid-cloud/00-the-problem.md" TargetMode="External" /><Relationship Type="http://schemas.openxmlformats.org/officeDocument/2006/relationships/hyperlink" Id="rId17" Target="docs/client-server-to-hybrid-cloud/02-analyzing-the-estate.md" TargetMode="External" /><Relationship Type="http://schemas.openxmlformats.org/officeDocument/2006/relationships/hyperlink" Id="rId28" Target="docs/client-server-to-hybrid-cloud/03-analysis-plan-delivery.md" TargetMode="External" /><Relationship Type="http://schemas.openxmlformats.org/officeDocument/2006/relationships/hyperlink" Id="rId29" Target="docs/client-server-to-hybrid-cloud/04-identity-transformation.md" TargetMode="External" /><Relationship Type="http://schemas.openxmlformats.org/officeDocument/2006/relationships/hyperlink" Id="rId38" Target="docs/client-server-to-hybrid-cloud/09-migration-roadmap.md" TargetMode="External" /><Relationship Type="http://schemas.openxmlformats.org/officeDocument/2006/relationships/hyperlink" Id="rId14" Target="docs/client-server-to-hybrid-cloud/10-leadership-takeaway.md" TargetMode="External" /><Relationship Type="http://schemas.openxmlformats.org/officeDocument/2006/relationships/hyperlink" Id="rId23" Target="docs/hr-driven-iam/08-from-attributes-to-access.md" TargetMode="External" /><Relationship Type="http://schemas.openxmlformats.org/officeDocument/2006/relationships/hyperlink" Id="rId40" Target="docs/hr-driven-iam/index.md" TargetMode="External" /><Relationship Type="http://schemas.openxmlformats.org/officeDocument/2006/relationships/hyperlink" Id="rId20" Target="docs/learning/old-ad-vs-new-entra-reference.md" TargetMode="External" /><Relationship Type="http://schemas.openxmlformats.org/officeDocument/2006/relationships/hyperlink" Id="rId32" Target="docs/operational-guides/conditional-access-policy-library.md" TargetMode="External" /><Relationship Type="http://schemas.openxmlformats.org/officeDocument/2006/relationships/hyperlink" Id="rId34" Target="docs/operational-guides/dns-modernization.md" TargetMode="External" /><Relationship Type="http://schemas.openxmlformats.org/officeDocument/2006/relationships/hyperlink" Id="rId41" Target="docs/operational-guides/end-user-training.md" TargetMode="External" /><Relationship Type="http://schemas.openxmlformats.org/officeDocument/2006/relationships/hyperlink" Id="rId31" Target="docs/operational-guides/gpo-modernization-parse-crosswalk.md" TargetMode="External" /><Relationship Type="http://schemas.openxmlformats.org/officeDocument/2006/relationships/hyperlink" Id="rId30" Target="docs/operational-guides/gpo-sunset-program.md" TargetMode="External" /><Relationship Type="http://schemas.openxmlformats.org/officeDocument/2006/relationships/hyperlink" Id="rId33" Target="docs/operational-guides/intune-arc-modernization/README.md" TargetMode="External" /><Relationship Type="http://schemas.openxmlformats.org/officeDocument/2006/relationships/hyperlink" Id="rId39" Target="docs/operational-guides/pim-self-request-approval.md" TargetMode="External" /><Relationship Type="http://schemas.openxmlformats.org/officeDocument/2006/relationships/hyperlink" Id="rId35" Target="docs/operational-guides/pki-modernization.md" TargetMode="External" /><Relationship Type="http://schemas.openxmlformats.org/officeDocument/2006/relationships/hyperlink" Id="rId16" Target="docs/operational-guides/read-only-ad-assessment.md" TargetMode="External" /><Relationship Type="http://schemas.openxmlformats.org/officeDocument/2006/relationships/hyperlink" Id="rId46" Target="docs/program/education.md" TargetMode="External" /><Relationship Type="http://schemas.openxmlformats.org/officeDocument/2006/relationships/hyperlink" Id="rId36" Target="docs/program/test-plans.md" TargetMode="External" /><Relationship Type="http://schemas.openxmlformats.org/officeDocument/2006/relationships/hyperlink" Id="rId45" Target="docs/program/training.md" TargetMode="External" /><Relationship Type="http://schemas.openxmlformats.org/officeDocument/2006/relationships/hyperlink" Id="rId56" Target="docs/projects/README.md" TargetMode="External" /><Relationship Type="http://schemas.openxmlformats.org/officeDocument/2006/relationships/hyperlink" Id="rId54" Target="docs/projects/continuous-monitoring-charter.md" TargetMode="External" /><Relationship Type="http://schemas.openxmlformats.org/officeDocument/2006/relationships/hyperlink" Id="rId53" Target="docs/projects/data-platform-charter.md" TargetMode="External" /><Relationship Type="http://schemas.openxmlformats.org/officeDocument/2006/relationships/hyperlink" Id="rId51" Target="docs/projects/endpoint-device-charter.md" TargetMode="External" /><Relationship Type="http://schemas.openxmlformats.org/officeDocument/2006/relationships/hyperlink" Id="rId49" Target="docs/projects/identity-lifecycle-charter.md" TargetMode="External" /><Relationship Type="http://schemas.openxmlformats.org/officeDocument/2006/relationships/hyperlink" Id="rId50" Target="docs/projects/network-access-charter.md" TargetMode="External" /><Relationship Type="http://schemas.openxmlformats.org/officeDocument/2006/relationships/hyperlink" Id="rId52" Target="docs/projects/privileged-access-charter.md" TargetMode="External" /><Relationship Type="http://schemas.openxmlformats.org/officeDocument/2006/relationships/hyperlink" Id="rId55" Target="docs/projects/supply-chain-charter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2026-10-19T10:12:01Z</dcterms:created>
  <dcterms:modified xsi:type="dcterms:W3CDTF">2026-10-19T10:12:01Z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