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6" w:name="how-to-use-this-repository"/>
    <w:p>
      <w:pPr>
        <w:pStyle w:val="Heading1"/>
      </w:pPr>
      <w:r>
        <w:t xml:space="preserve">How to Use This Repository</w:t>
      </w:r>
    </w:p>
    <w:p>
      <w:pPr>
        <w:pStyle w:val="FirstParagraph"/>
      </w:pPr>
      <w:r>
        <w:t xml:space="preserve">This workbook is a cleaned, standalone modernization project. It presents patterns for identity, addressing, policy, and governance that can be used without prior context from the source materials.</w:t>
      </w:r>
    </w:p>
    <w:bookmarkStart w:id="9" w:name="who-this-is-for"/>
    <w:p>
      <w:pPr>
        <w:pStyle w:val="Heading2"/>
      </w:pPr>
      <w:r>
        <w:t xml:space="preserve">Who this is for</w:t>
      </w:r>
    </w:p>
    <w:p>
      <w:pPr>
        <w:pStyle w:val="Compact"/>
        <w:numPr>
          <w:ilvl w:val="0"/>
          <w:numId w:val="1001"/>
        </w:numPr>
      </w:pPr>
      <w:r>
        <w:t xml:space="preserve">Program managers and architects planning a modernization effort</w:t>
      </w:r>
    </w:p>
    <w:p>
      <w:pPr>
        <w:pStyle w:val="Compact"/>
        <w:numPr>
          <w:ilvl w:val="0"/>
          <w:numId w:val="1001"/>
        </w:numPr>
      </w:pPr>
      <w:r>
        <w:t xml:space="preserve">Teams that need shared language for single source of truth, drift, and attribute-driven structure</w:t>
      </w:r>
    </w:p>
    <w:p>
      <w:pPr>
        <w:pStyle w:val="Compact"/>
        <w:numPr>
          <w:ilvl w:val="0"/>
          <w:numId w:val="1001"/>
        </w:numPr>
      </w:pPr>
      <w:r>
        <w:t xml:space="preserve">Readers evaluating whether these patterns apply to their environment</w:t>
      </w:r>
    </w:p>
    <w:bookmarkEnd w:id="9"/>
    <w:bookmarkStart w:id="15" w:name="start-here"/>
    <w:p>
      <w:pPr>
        <w:pStyle w:val="Heading2"/>
      </w:pPr>
      <w:r>
        <w:t xml:space="preserve">Start here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  <w:b/>
            <w:bCs/>
          </w:rPr>
          <w:t xml:space="preserve">Principles</w:t>
        </w:r>
      </w:hyperlink>
      <w:r>
        <w:t xml:space="preserve"> </w:t>
      </w:r>
      <w:r>
        <w:t xml:space="preserve">— The rules. Read this first.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  <w:b/>
            <w:bCs/>
          </w:rPr>
          <w:t xml:space="preserve">Project Charter</w:t>
        </w:r>
      </w:hyperlink>
      <w:r>
        <w:t xml:space="preserve"> </w:t>
      </w:r>
      <w:r>
        <w:t xml:space="preserve">— Purpose, scope, and success criteria.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  <w:b/>
            <w:bCs/>
          </w:rPr>
          <w:t xml:space="preserve">Project Plan</w:t>
        </w:r>
      </w:hyperlink>
      <w:r>
        <w:t xml:space="preserve"> </w:t>
      </w:r>
      <w:r>
        <w:t xml:space="preserve">— Phased roadmap and workstreams.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  <w:b/>
            <w:bCs/>
          </w:rPr>
          <w:t xml:space="preserve">Why Modernization Is Hard</w:t>
        </w:r>
      </w:hyperlink>
      <w:r>
        <w:t xml:space="preserve"> </w:t>
      </w:r>
      <w:r>
        <w:t xml:space="preserve">— Leadership framing.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  <w:b/>
            <w:bCs/>
          </w:rPr>
          <w:t xml:space="preserve">Client-Server to Hybrid-Cloud series</w:t>
        </w:r>
      </w:hyperlink>
      <w:r>
        <w:t xml:space="preserve"> </w:t>
      </w:r>
      <w:r>
        <w:t xml:space="preserve">— The technical narrative.</w:t>
      </w:r>
    </w:p>
    <w:bookmarkEnd w:id="15"/>
    <w:bookmarkStart w:id="22" w:name="how-the-material-is-organized"/>
    <w:p>
      <w:pPr>
        <w:pStyle w:val="Heading2"/>
      </w:pPr>
      <w:r>
        <w:t xml:space="preserve">How the material is organized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2376"/>
        <w:gridCol w:w="316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Start with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Principles</w:t>
            </w:r>
          </w:p>
        </w:tc>
        <w:tc>
          <w:tcPr/>
          <w:p>
            <w:pPr>
              <w:pStyle w:val="Compact"/>
            </w:pPr>
            <w:r>
              <w:t xml:space="preserve">Core rules that apply across domains</w:t>
            </w:r>
          </w:p>
        </w:tc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PRINCIPLES.md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Architecture</w:t>
            </w:r>
          </w:p>
        </w:tc>
        <w:tc>
          <w:tcPr/>
          <w:p>
            <w:pPr>
              <w:pStyle w:val="Compact"/>
            </w:pPr>
            <w:r>
              <w:t xml:space="preserve">Models for SSOT, drift, attribute structure, control planes</w:t>
            </w:r>
          </w:p>
        </w:tc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Architecture series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Client-Server series</w:t>
            </w:r>
          </w:p>
        </w:tc>
        <w:tc>
          <w:tcPr/>
          <w:p>
            <w:pPr>
              <w:pStyle w:val="Compact"/>
            </w:pPr>
            <w:r>
              <w:t xml:space="preserve">End-to-end transformation narrative</w:t>
            </w:r>
          </w:p>
        </w:tc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Chapter 00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Operational guides</w:t>
            </w:r>
          </w:p>
        </w:tc>
        <w:tc>
          <w:tcPr/>
          <w:p>
            <w:pPr>
              <w:pStyle w:val="Compact"/>
            </w:pPr>
            <w:r>
              <w:t xml:space="preserve">Practical paths for GPO, Intune, DNS, PKI, access</w:t>
            </w:r>
          </w:p>
        </w:tc>
        <w:tc>
          <w:tcPr/>
          <w:p>
            <w:pPr>
              <w:pStyle w:val="Compact"/>
            </w:pPr>
            <w:hyperlink r:id="rId18">
              <w:r>
                <w:rPr>
                  <w:rStyle w:val="Hyperlink"/>
                </w:rPr>
                <w:t xml:space="preserve">Operational guides index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Case studies</w:t>
            </w:r>
          </w:p>
        </w:tc>
        <w:tc>
          <w:tcPr/>
          <w:p>
            <w:pPr>
              <w:pStyle w:val="Compact"/>
            </w:pPr>
            <w:r>
              <w:t xml:space="preserve">Worked examples (SQL Server identity, HRIT)</w:t>
            </w:r>
          </w:p>
        </w:tc>
        <w:tc>
          <w:tcPr/>
          <w:p>
            <w:pPr>
              <w:pStyle w:val="Compact"/>
            </w:pPr>
            <w:hyperlink r:id="rId19">
              <w:r>
                <w:rPr>
                  <w:rStyle w:val="Hyperlink"/>
                </w:rPr>
                <w:t xml:space="preserve">SQL Server overview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Whitepapers</w:t>
            </w:r>
          </w:p>
        </w:tc>
        <w:tc>
          <w:tcPr/>
          <w:p>
            <w:pPr>
              <w:pStyle w:val="Compact"/>
            </w:pPr>
            <w:r>
              <w:t xml:space="preserve">Deeper treatment of specific topics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Whitepapers index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Federal compliance framing (Moderate)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Compliance overview</w:t>
              </w:r>
            </w:hyperlink>
          </w:p>
        </w:tc>
      </w:tr>
    </w:tbl>
    <w:bookmarkEnd w:id="22"/>
    <w:bookmarkStart w:id="23" w:name="what-is-intentionally-deferred"/>
    <w:p>
      <w:pPr>
        <w:pStyle w:val="Heading2"/>
      </w:pPr>
      <w:r>
        <w:t xml:space="preserve">What is intentionally deferred</w:t>
      </w:r>
    </w:p>
    <w:p>
      <w:pPr>
        <w:pStyle w:val="Compact"/>
        <w:numPr>
          <w:ilvl w:val="0"/>
          <w:numId w:val="1003"/>
        </w:numPr>
      </w:pPr>
      <w:r>
        <w:t xml:space="preserve">Full 60-book compliance series (volume overviews are present; individual books remain in source materials)</w:t>
      </w:r>
    </w:p>
    <w:p>
      <w:pPr>
        <w:pStyle w:val="Compact"/>
        <w:numPr>
          <w:ilvl w:val="0"/>
          <w:numId w:val="1003"/>
        </w:numPr>
      </w:pPr>
      <w:r>
        <w:t xml:space="preserve">Full policy and access catalogs (short principle extracts are in</w:t>
      </w:r>
      <w:r>
        <w:t xml:space="preserve"> </w:t>
      </w:r>
      <w:r>
        <w:rPr>
          <w:rStyle w:val="VerbatimChar"/>
        </w:rPr>
        <w:t xml:space="preserve">docs/libraries/</w:t>
      </w:r>
      <w:r>
        <w:t xml:space="preserve">)</w:t>
      </w:r>
    </w:p>
    <w:bookmarkEnd w:id="23"/>
    <w:bookmarkStart w:id="24" w:name="diagrams"/>
    <w:p>
      <w:pPr>
        <w:pStyle w:val="Heading2"/>
      </w:pPr>
      <w:r>
        <w:t xml:space="preserve">Diagrams</w:t>
      </w:r>
    </w:p>
    <w:p>
      <w:pPr>
        <w:pStyle w:val="FirstParagraph"/>
      </w:pPr>
      <w:r>
        <w:t xml:space="preserve">Key diagrams use a white-background illustrated style and are stored under</w:t>
      </w:r>
      <w:r>
        <w:t xml:space="preserve"> </w:t>
      </w:r>
      <w:r>
        <w:rPr>
          <w:rStyle w:val="VerbatimChar"/>
        </w:rPr>
        <w:t xml:space="preserve">docs/images/</w:t>
      </w:r>
      <w:r>
        <w:t xml:space="preserve">. SVG versions are preferred for scalability. If a diagram does not match the preferred style, treat the surrounding prose as authoritative.</w:t>
      </w:r>
    </w:p>
    <w:bookmarkEnd w:id="24"/>
    <w:bookmarkStart w:id="25" w:name="provenance"/>
    <w:p>
      <w:pPr>
        <w:pStyle w:val="Heading2"/>
      </w:pPr>
      <w:r>
        <w:t xml:space="preserve">Provenance</w:t>
      </w:r>
    </w:p>
    <w:p>
      <w:pPr>
        <w:pStyle w:val="FirstParagraph"/>
      </w:pPr>
      <w:r>
        <w:t xml:space="preserve">This workbook is a cleaned derivative of prior internal work. The migration from the source material is complete; the remaining status file (STATUS.md) is excluded from the public site build.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For project use. Cleaned for external readers.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../PROJECT-CHARTER.md" TargetMode="External" /><Relationship Type="http://schemas.openxmlformats.org/officeDocument/2006/relationships/hyperlink" Id="rId12" Target="../PROJECT-PLAN.md" TargetMode="External" /><Relationship Type="http://schemas.openxmlformats.org/officeDocument/2006/relationships/hyperlink" Id="rId10" Target="PRINCIPLES.md" TargetMode="External" /><Relationship Type="http://schemas.openxmlformats.org/officeDocument/2006/relationships/hyperlink" Id="rId16" Target="architecture/architecture-series/README.md" TargetMode="External" /><Relationship Type="http://schemas.openxmlformats.org/officeDocument/2006/relationships/hyperlink" Id="rId19" Target="case-studies/sql-server-identity.md" TargetMode="External" /><Relationship Type="http://schemas.openxmlformats.org/officeDocument/2006/relationships/hyperlink" Id="rId13" Target="client-server-to-hybrid-cloud/00-prologue-why-modernization-is-hard.md" TargetMode="External" /><Relationship Type="http://schemas.openxmlformats.org/officeDocument/2006/relationships/hyperlink" Id="rId17" Target="client-server-to-hybrid-cloud/00-the-problem.md" TargetMode="External" /><Relationship Type="http://schemas.openxmlformats.org/officeDocument/2006/relationships/hyperlink" Id="rId14" Target="client-server-to-hybrid-cloud/README.md" TargetMode="External" /><Relationship Type="http://schemas.openxmlformats.org/officeDocument/2006/relationships/hyperlink" Id="rId21" Target="compliance/federal-compliance-series-moderate-overview.md" TargetMode="External" /><Relationship Type="http://schemas.openxmlformats.org/officeDocument/2006/relationships/hyperlink" Id="rId18" Target="operational-guides/README.md" TargetMode="External" /><Relationship Type="http://schemas.openxmlformats.org/officeDocument/2006/relationships/hyperlink" Id="rId20" Target="whitepaper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../PROJECT-CHARTER.md" TargetMode="External" /><Relationship Type="http://schemas.openxmlformats.org/officeDocument/2006/relationships/hyperlink" Id="rId12" Target="../PROJECT-PLAN.md" TargetMode="External" /><Relationship Type="http://schemas.openxmlformats.org/officeDocument/2006/relationships/hyperlink" Id="rId10" Target="PRINCIPLES.md" TargetMode="External" /><Relationship Type="http://schemas.openxmlformats.org/officeDocument/2006/relationships/hyperlink" Id="rId16" Target="architecture/architecture-series/README.md" TargetMode="External" /><Relationship Type="http://schemas.openxmlformats.org/officeDocument/2006/relationships/hyperlink" Id="rId19" Target="case-studies/sql-server-identity.md" TargetMode="External" /><Relationship Type="http://schemas.openxmlformats.org/officeDocument/2006/relationships/hyperlink" Id="rId13" Target="client-server-to-hybrid-cloud/00-prologue-why-modernization-is-hard.md" TargetMode="External" /><Relationship Type="http://schemas.openxmlformats.org/officeDocument/2006/relationships/hyperlink" Id="rId17" Target="client-server-to-hybrid-cloud/00-the-problem.md" TargetMode="External" /><Relationship Type="http://schemas.openxmlformats.org/officeDocument/2006/relationships/hyperlink" Id="rId14" Target="client-server-to-hybrid-cloud/README.md" TargetMode="External" /><Relationship Type="http://schemas.openxmlformats.org/officeDocument/2006/relationships/hyperlink" Id="rId21" Target="compliance/federal-compliance-series-moderate-overview.md" TargetMode="External" /><Relationship Type="http://schemas.openxmlformats.org/officeDocument/2006/relationships/hyperlink" Id="rId18" Target="operational-guides/README.md" TargetMode="External" /><Relationship Type="http://schemas.openxmlformats.org/officeDocument/2006/relationships/hyperlink" Id="rId20" Target="whitepaper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2026-10-19T10:09:10Z</dcterms:created>
  <dcterms:modified xsi:type="dcterms:W3CDTF">2026-10-19T10:09:10Z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