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svg" ContentType="image/svg+xml"/>
  <Override PartName="/word/media/rId21.svg" ContentType="image/svg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Boundary Impact Model</w:t>
      </w:r>
    </w:p>
    <w:p>
      <w:pPr>
        <w:pStyle w:val="Subtitle"/>
      </w:pPr>
      <w:r>
        <w:t xml:space="preserve">Modeling authorization boundaries and their governance implications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9" w:name="boundary-impact-model"/>
    <w:p>
      <w:pPr>
        <w:pStyle w:val="Heading1"/>
      </w:pPr>
      <w:r>
        <w:t xml:space="preserve">Boundary Impact Model</w:t>
      </w:r>
    </w:p>
    <w:p>
      <w:pPr>
        <w:pStyle w:val="CaptionedFigure"/>
      </w:pPr>
      <w:r>
        <w:drawing>
          <wp:inline>
            <wp:extent cx="5334000" cy="5334000"/>
            <wp:effectExtent b="0" l="0" r="0" t="0"/>
            <wp:docPr descr="Illustration: four impact dimensions crossing an authorization boundary." title="" id="10" name="Picture"/>
            <a:graphic>
              <a:graphicData uri="http://schemas.openxmlformats.org/drawingml/2006/picture">
                <pic:pic>
                  <pic:nvPicPr>
                    <pic:cNvPr descr="../images/architecture/boundary-impact-model-image-01-boundary-impact-four-dimension-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Illustration: four impact dimensions crossing an authorization boundary.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boundary impact model</w:t>
      </w:r>
      <w:r>
        <w:t xml:space="preserve"> </w:t>
      </w:r>
      <w:r>
        <w:t xml:space="preserve">is FMP’s architectural treatment of what</w:t>
      </w:r>
      <w:r>
        <w:t xml:space="preserve"> </w:t>
      </w:r>
      <w:r>
        <w:t xml:space="preserve">happens when authorization boundaries cut across the substrate — most</w:t>
      </w:r>
      <w:r>
        <w:t xml:space="preserve"> </w:t>
      </w:r>
      <w:r>
        <w:t xml:space="preserve">notably the GCC-Moderate boundary that constrains telemetry, identity, and</w:t>
      </w:r>
      <w:r>
        <w:t xml:space="preserve"> </w:t>
      </w:r>
      <w:r>
        <w:t xml:space="preserve">enforcement surfaces inside Microsoft 365 GCC-Moderate tenants.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Canon-anchor 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original ROADMAP cited</w:t>
            </w:r>
            <w:r>
              <w:t xml:space="preserve"> </w:t>
            </w:r>
            <w:r>
              <w:rPr>
                <w:rStyle w:val="VerbatimChar"/>
              </w:rPr>
              <w:t xml:space="preserve">docs/docs/authorization-boundary.qmd</w:t>
            </w:r>
            <w:r>
              <w:t xml:space="preserve">, which</w:t>
            </w:r>
            <w:r>
              <w:t xml:space="preserve"> </w:t>
            </w:r>
            <w:r>
              <w:t xml:space="preserve">does not exist. This page anchors instead on the existing GCC-Moderate</w:t>
            </w:r>
            <w:r>
              <w:t xml:space="preserve"> </w:t>
            </w:r>
            <w:r>
              <w:t xml:space="preserve">boundary canon (</w:t>
            </w:r>
            <w:r>
              <w:rPr>
                <w:rStyle w:val="VerbatimChar"/>
              </w:rPr>
              <w:t xml:space="preserve">gcc-boundary-problem-statement.qmd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gcc-boundary-solution-architecture.qmd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drift-detection-boundary-amendment.qmd</w:t>
            </w:r>
            <w:r>
              <w:t xml:space="preserve">) and the customer-facing leaf</w:t>
            </w:r>
            <w:r>
              <w:t xml:space="preserve"> </w:t>
            </w:r>
            <w:r>
              <w:rPr>
                <w:rStyle w:val="VerbatimChar"/>
              </w:rPr>
              <w:t xml:space="preserve">B.1 GCC-Moderate Boundary Model</w:t>
            </w:r>
            <w:r>
              <w:t xml:space="preserve">.</w:t>
            </w:r>
            <w:r>
              <w:t xml:space="preserve"> </w:t>
            </w:r>
            <w:r>
              <w:t xml:space="preserve">A canon-change ADR may later promote a generalized authorization-boundary</w:t>
            </w:r>
            <w:r>
              <w:t xml:space="preserve"> </w:t>
            </w:r>
            <w:r>
              <w:t xml:space="preserve">canon document; until then, this model is GCC-Moderate-anchored.</w:t>
            </w:r>
          </w:p>
          <w:p/>
        </w:tc>
      </w:tr>
    </w:tbl>
    <w:p>
      <w:pPr>
        <w:pStyle w:val="CaptionedFigure"/>
      </w:pPr>
      <w:r>
        <w:drawing>
          <wp:inline>
            <wp:extent cx="5334000" cy="2032727"/>
            <wp:effectExtent b="0" l="0" r="0" t="0"/>
            <wp:docPr descr="The four impact dimensions of a boundary and the drift class each raises when violated." title="" id="16" name="Picture"/>
            <a:graphic>
              <a:graphicData uri="http://schemas.openxmlformats.org/drawingml/2006/picture">
                <pic:pic>
                  <pic:nvPicPr>
                    <pic:cNvPr descr="../images/diagrams/architecture/svg/boundary-impact-four-dimensions.svg" id="1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32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four impact dimensions of a boundary and the drift class each raises when violated.</w:t>
      </w:r>
    </w:p>
    <w:bookmarkStart w:id="18" w:name="what-the-model-captures"/>
    <w:p>
      <w:pPr>
        <w:pStyle w:val="Heading2"/>
      </w:pPr>
      <w:r>
        <w:t xml:space="preserve">What the model captures</w:t>
      </w:r>
    </w:p>
    <w:p>
      <w:pPr>
        <w:pStyle w:val="FirstParagraph"/>
      </w:pPr>
      <w:r>
        <w:t xml:space="preserve">A boundary in FMP is</w:t>
      </w:r>
      <w:r>
        <w:t xml:space="preserve"> </w:t>
      </w:r>
      <w:r>
        <w:rPr>
          <w:b/>
          <w:bCs/>
        </w:rPr>
        <w:t xml:space="preserve">not just a network or tenant edge</w:t>
      </w:r>
      <w:r>
        <w:t xml:space="preserve"> </w:t>
      </w:r>
      <w:r>
        <w:t xml:space="preserve">— it is any</w:t>
      </w:r>
      <w:r>
        <w:t xml:space="preserve"> </w:t>
      </w:r>
      <w:r>
        <w:t xml:space="preserve">surface across which: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Telemetry fidelity changes</w:t>
      </w:r>
      <w:r>
        <w:t xml:space="preserve"> </w:t>
      </w:r>
      <w:r>
        <w:t xml:space="preserve">(e.g. commercial → GCC-Moderate causes</w:t>
      </w:r>
      <w:r>
        <w:t xml:space="preserve"> </w:t>
      </w:r>
      <w:r>
        <w:t xml:space="preserve">silent loss of Endpoint Analytics, Device Health Attestation, etc.).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Identity authority changes</w:t>
      </w:r>
      <w:r>
        <w:t xml:space="preserve"> </w:t>
      </w:r>
      <w:r>
        <w:t xml:space="preserve">(e.g. a federated trust crosses from one</w:t>
      </w:r>
      <w:r>
        <w:t xml:space="preserve"> </w:t>
      </w:r>
      <w:r>
        <w:t xml:space="preserve">IdP’s namespace to another).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Enforcement responsibility changes</w:t>
      </w:r>
      <w:r>
        <w:t xml:space="preserve"> </w:t>
      </w:r>
      <w:r>
        <w:t xml:space="preserve">(e.g. a control that was platform-</w:t>
      </w:r>
      <w:r>
        <w:t xml:space="preserve"> </w:t>
      </w:r>
      <w:r>
        <w:t xml:space="preserve">enforced becomes agency-enforced, or vice versa).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Provenance classification changes</w:t>
      </w:r>
      <w:r>
        <w:t xml:space="preserve"> </w:t>
      </w:r>
      <w:r>
        <w:t xml:space="preserve">(e.g. a claim that was</w:t>
      </w:r>
      <w:r>
        <w:t xml:space="preserve"> </w:t>
      </w:r>
      <w:r>
        <w:rPr>
          <w:rStyle w:val="VerbatimChar"/>
        </w:rPr>
        <w:t xml:space="preserve">authoritative</w:t>
      </w:r>
      <w:r>
        <w:t xml:space="preserve"> </w:t>
      </w:r>
      <w:r>
        <w:t xml:space="preserve">from system X becomes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after crossing the</w:t>
      </w:r>
      <w:r>
        <w:t xml:space="preserve"> </w:t>
      </w:r>
      <w:r>
        <w:t xml:space="preserve">boundary).</w:t>
      </w:r>
    </w:p>
    <w:p>
      <w:pPr>
        <w:pStyle w:val="FirstParagraph"/>
      </w:pPr>
      <w:r>
        <w:t xml:space="preserve">Each of these axes contributes an</w:t>
      </w:r>
      <w:r>
        <w:t xml:space="preserve"> </w:t>
      </w:r>
      <w:r>
        <w:rPr>
          <w:b/>
          <w:bCs/>
        </w:rPr>
        <w:t xml:space="preserve">impact dimension</w:t>
      </w:r>
      <w:r>
        <w:t xml:space="preserve"> </w:t>
      </w:r>
      <w:r>
        <w:t xml:space="preserve">that the model</w:t>
      </w:r>
      <w:r>
        <w:t xml:space="preserve"> </w:t>
      </w:r>
      <w:r>
        <w:t xml:space="preserve">quantifies independently.</w:t>
      </w:r>
    </w:p>
    <w:bookmarkEnd w:id="18"/>
    <w:bookmarkStart w:id="20" w:name="the-four-impact-dimensions"/>
    <w:p>
      <w:pPr>
        <w:pStyle w:val="Heading2"/>
      </w:pPr>
      <w:r>
        <w:t xml:space="preserve">The four impact dimensions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Drift class on violation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Telemetry fidelity</w:t>
            </w:r>
          </w:p>
        </w:tc>
        <w:tc>
          <w:tcPr/>
          <w:p>
            <w:pPr>
              <w:pStyle w:val="Compact"/>
            </w:pPr>
            <w:r>
              <w:t xml:space="preserve">What signals are</w:t>
            </w:r>
            <w:r>
              <w:t xml:space="preserve"> </w:t>
            </w:r>
            <w:r>
              <w:rPr>
                <w:i/>
                <w:iCs/>
              </w:rPr>
              <w:t xml:space="preserve">actually</w:t>
            </w:r>
            <w:r>
              <w:t xml:space="preserve"> </w:t>
            </w:r>
            <w:r>
              <w:t xml:space="preserve">available on this side of the boundary?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  <w:r>
              <w:t xml:space="preserve"> </w:t>
            </w:r>
            <w:r>
              <w:t xml:space="preserve">(missing fields),</w:t>
            </w:r>
            <w:r>
              <w:t xml:space="preserve"> </w:t>
            </w:r>
            <w:r>
              <w:rPr>
                <w:rStyle w:val="VerbatimChar"/>
              </w:rPr>
              <w:t xml:space="preserve">DRIFT-PROVENANCE</w:t>
            </w:r>
            <w:r>
              <w:t xml:space="preserve"> </w:t>
            </w:r>
            <w:r>
              <w:t xml:space="preserve">(broken chain)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authority</w:t>
            </w:r>
          </w:p>
        </w:tc>
        <w:tc>
          <w:tcPr/>
          <w:p>
            <w:pPr>
              <w:pStyle w:val="Compact"/>
            </w:pPr>
            <w:r>
              <w:t xml:space="preserve">Who can the issuer of a claim be resolved to here?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Enforcement responsibility</w:t>
            </w:r>
          </w:p>
        </w:tc>
        <w:tc>
          <w:tcPr/>
          <w:p>
            <w:pPr>
              <w:pStyle w:val="Compact"/>
            </w:pPr>
            <w:r>
              <w:t xml:space="preserve">Who must enforce this control on this side?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  <w:r>
              <w:t xml:space="preserve"> </w:t>
            </w:r>
            <w:r>
              <w:t xml:space="preserve">(out-of-envelope action)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Provenance classification</w:t>
            </w:r>
          </w:p>
        </w:tc>
        <w:tc>
          <w:tcPr/>
          <w:p>
            <w:pPr>
              <w:pStyle w:val="Compact"/>
            </w:pPr>
            <w:r>
              <w:t xml:space="preserve">Is the claim still authoritative on this side, or only derived?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DRIFT-SEMANTIC</w:t>
            </w:r>
          </w:p>
        </w:tc>
      </w:tr>
    </w:tbl>
    <w:p>
      <w:pPr>
        <w:pStyle w:val="BodyText"/>
      </w:pPr>
      <w:r>
        <w:t xml:space="preserve">The model deliberately maps onto the</w:t>
      </w:r>
      <w:r>
        <w:t xml:space="preserve"> </w:t>
      </w:r>
      <w:hyperlink r:id="rId19">
        <w:r>
          <w:rPr>
            <w:rStyle w:val="Hyperlink"/>
          </w:rPr>
          <w:t xml:space="preserve">Drift Engine</w:t>
        </w:r>
      </w:hyperlink>
      <w:r>
        <w:t xml:space="preserve">’s five-class taxonomy. Boundary crossings</w:t>
      </w:r>
      <w:r>
        <w:t xml:space="preserve"> </w:t>
      </w:r>
      <w:r>
        <w:t xml:space="preserve">are the most common source of multi-class drift, and treating boundary</w:t>
      </w:r>
      <w:r>
        <w:t xml:space="preserve"> </w:t>
      </w:r>
      <w:r>
        <w:t xml:space="preserve">modeling as a drift problem (rather than a separate compliance concern)</w:t>
      </w:r>
      <w:r>
        <w:t xml:space="preserve"> </w:t>
      </w:r>
      <w:r>
        <w:t xml:space="preserve">keeps both surfaces in one operational language.</w:t>
      </w:r>
    </w:p>
    <w:bookmarkEnd w:id="20"/>
    <w:bookmarkStart w:id="24" w:name="X06e97381cd41a66af2ae5837debc73985def9c5"/>
    <w:p>
      <w:pPr>
        <w:pStyle w:val="Heading2"/>
      </w:pPr>
      <w:r>
        <w:t xml:space="preserve">The invisible-boundary problem (worked example)</w:t>
      </w:r>
    </w:p>
    <w:p>
      <w:pPr>
        <w:pStyle w:val="FirstParagraph"/>
      </w:pPr>
      <w:r>
        <w:t xml:space="preserve">The structural example for this model is the</w:t>
      </w:r>
      <w:r>
        <w:t xml:space="preserve"> </w:t>
      </w:r>
      <w:r>
        <w:rPr>
          <w:b/>
          <w:bCs/>
        </w:rPr>
        <w:t xml:space="preserve">GCC-Moderate invisible</w:t>
      </w:r>
      <w:r>
        <w:rPr>
          <w:b/>
          <w:bCs/>
        </w:rPr>
        <w:t xml:space="preserve"> </w:t>
      </w:r>
      <w:r>
        <w:rPr>
          <w:b/>
          <w:bCs/>
        </w:rPr>
        <w:t xml:space="preserve">boundary</w:t>
      </w:r>
      <w:r>
        <w:t xml:space="preserve">, documented in</w:t>
      </w:r>
      <w:r>
        <w:t xml:space="preserve"> </w:t>
      </w:r>
      <w:r>
        <w:rPr>
          <w:rStyle w:val="VerbatimChar"/>
        </w:rPr>
        <w:t xml:space="preserve">gcc-boundary-problem-statement.qmd</w:t>
      </w:r>
      <w:r>
        <w:t xml:space="preserve">:</w:t>
      </w:r>
    </w:p>
    <w:p>
      <w:pPr>
        <w:pStyle w:val="BlockText"/>
      </w:pPr>
      <w:r>
        <w:t xml:space="preserve">Microsoft 365 GCC-Moderate provides the same nominal product set as M365</w:t>
      </w:r>
      <w:r>
        <w:t xml:space="preserve"> </w:t>
      </w:r>
      <w:r>
        <w:t xml:space="preserve">commercial, but the FedRAMP Moderate authorization boundary materially</w:t>
      </w:r>
      <w:r>
        <w:t xml:space="preserve"> </w:t>
      </w:r>
      <w:r>
        <w:t xml:space="preserve">constrains the outbound telemetry that drives many of the platform’s</w:t>
      </w:r>
      <w:r>
        <w:t xml:space="preserve"> </w:t>
      </w:r>
      <w:r>
        <w:t xml:space="preserve">higher-order analytics. Features appear available in administrative</w:t>
      </w:r>
      <w:r>
        <w:t xml:space="preserve"> </w:t>
      </w:r>
      <w:r>
        <w:t xml:space="preserve">portals, are described in commercial documentation, and may be referenced</w:t>
      </w:r>
      <w:r>
        <w:t xml:space="preserve"> </w:t>
      </w:r>
      <w:r>
        <w:t xml:space="preserve">in SSPs and migration plans, but silently produce no data, emit no</w:t>
      </w:r>
      <w:r>
        <w:t xml:space="preserve"> </w:t>
      </w:r>
      <w:r>
        <w:t xml:space="preserve">errors, and have no documented resolution path in the GCC-Moderate</w:t>
      </w:r>
      <w:r>
        <w:t xml:space="preserve"> </w:t>
      </w:r>
      <w:r>
        <w:t xml:space="preserve">context.</w:t>
      </w:r>
    </w:p>
    <w:p>
      <w:pPr>
        <w:pStyle w:val="FirstParagraph"/>
      </w:pPr>
      <w:r>
        <w:t xml:space="preserve">Mapped onto the four-dimension model: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Telemetry fidelity:</w:t>
      </w:r>
      <w:r>
        <w:t xml:space="preserve"> </w:t>
      </w:r>
      <w:r>
        <w:t xml:space="preserve">Endpoint Analytics, Device Health Attestation,</w:t>
      </w:r>
      <w:r>
        <w:t xml:space="preserve"> </w:t>
      </w:r>
      <w:r>
        <w:t xml:space="preserve">Locations / Network Fence, ARC Server Monitoring, and Expedited Updates</w:t>
      </w:r>
      <w:r>
        <w:t xml:space="preserve"> </w:t>
      </w:r>
      <w:r>
        <w:t xml:space="preserve">are unavailable in GCC-Moderate despite UI presence. The boundary</w:t>
      </w:r>
      <w:r>
        <w:t xml:space="preserve"> </w:t>
      </w:r>
      <w:r>
        <w:rPr>
          <w:i/>
          <w:iCs/>
        </w:rPr>
        <w:t xml:space="preserve">silently</w:t>
      </w:r>
      <w:r>
        <w:t xml:space="preserve"> </w:t>
      </w:r>
      <w:r>
        <w:t xml:space="preserve">attenuates telemetry.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Identity authority:</w:t>
      </w:r>
      <w:r>
        <w:t xml:space="preserve"> </w:t>
      </w:r>
      <w:r>
        <w:t xml:space="preserve">federated trusts from commercial IdPs cross into</w:t>
      </w:r>
      <w:r>
        <w:t xml:space="preserve"> </w:t>
      </w:r>
      <w:r>
        <w:t xml:space="preserve">GCC-Moderate scope; resolution rules differ on each side.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Enforcement responsibility:</w:t>
      </w:r>
      <w:r>
        <w:t xml:space="preserve"> </w:t>
      </w:r>
      <w:r>
        <w:t xml:space="preserve">controls that commercial customers</w:t>
      </w:r>
      <w:r>
        <w:t xml:space="preserve"> </w:t>
      </w:r>
      <w:r>
        <w:t xml:space="preserve">consume as platform features (e.g. some ZT analytics) become</w:t>
      </w:r>
      <w:r>
        <w:t xml:space="preserve"> </w:t>
      </w:r>
      <w:r>
        <w:rPr>
          <w:b/>
          <w:bCs/>
        </w:rPr>
        <w:t xml:space="preserve">agency</w:t>
      </w:r>
      <w:r>
        <w:rPr>
          <w:b/>
          <w:bCs/>
        </w:rPr>
        <w:t xml:space="preserve"> </w:t>
      </w:r>
      <w:r>
        <w:rPr>
          <w:b/>
          <w:bCs/>
        </w:rPr>
        <w:t xml:space="preserve">responsibility</w:t>
      </w:r>
      <w:r>
        <w:t xml:space="preserve"> </w:t>
      </w:r>
      <w:r>
        <w:t xml:space="preserve">in GCC-Moderate.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Provenance classification: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authoritative</w:t>
      </w:r>
      <w:r>
        <w:t xml:space="preserve"> </w:t>
      </w:r>
      <w:r>
        <w:t xml:space="preserve">claim sourced from a</w:t>
      </w:r>
      <w:r>
        <w:t xml:space="preserve"> </w:t>
      </w:r>
      <w:r>
        <w:t xml:space="preserve">commercial-only telemetry path is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(or absent) in GCC-Moderate.</w:t>
      </w:r>
    </w:p>
    <w:p>
      <w:pPr>
        <w:pStyle w:val="FirstParagraph"/>
      </w:pPr>
      <w:r>
        <w:t xml:space="preserve">Treating these as a single boundary impact rather than four unrelated</w:t>
      </w:r>
      <w:r>
        <w:t xml:space="preserve"> </w:t>
      </w:r>
      <w:r>
        <w:t xml:space="preserve">issues is what allows the</w:t>
      </w:r>
      <w:r>
        <w:t xml:space="preserve"> </w:t>
      </w:r>
      <w:r>
        <w:t xml:space="preserve">B.1 GCC-Moderate Boundary Model</w:t>
      </w:r>
      <w:r>
        <w:t xml:space="preserve"> </w:t>
      </w:r>
      <w:r>
        <w:t xml:space="preserve">leaf to produce a single coherent SSP narrative instead of four disjoint</w:t>
      </w:r>
      <w:r>
        <w:t xml:space="preserve"> </w:t>
      </w:r>
      <w:r>
        <w:t xml:space="preserve">ones.</w:t>
      </w:r>
    </w:p>
    <w:p>
      <w:pPr>
        <w:pStyle w:val="CaptionedFigure"/>
      </w:pPr>
      <w:r>
        <w:drawing>
          <wp:inline>
            <wp:extent cx="3200400" cy="5067300"/>
            <wp:effectExtent b="0" l="0" r="0" t="0"/>
            <wp:docPr descr="The GCC-Moderate invisible boundary: features that look available, what actually arrives, and the four compensations." title="" id="22" name="Picture"/>
            <a:graphic>
              <a:graphicData uri="http://schemas.openxmlformats.org/drawingml/2006/picture">
                <pic:pic>
                  <pic:nvPicPr>
                    <pic:cNvPr descr="../images/diagrams/architecture/svg/boundary-impact-invisible-boundary.svg" id="2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GCC-Moderate invisible boundary: features that look available, what actually arrives, and the four compensations.</w:t>
      </w:r>
    </w:p>
    <w:bookmarkEnd w:id="24"/>
    <w:bookmarkStart w:id="26" w:name="X5b2962bea1ce0449d87b22eda06e39f0de3e3b5"/>
    <w:p>
      <w:pPr>
        <w:pStyle w:val="Heading2"/>
      </w:pPr>
      <w:r>
        <w:t xml:space="preserve">How FMP compensates: in-boundary equivalents</w:t>
      </w:r>
    </w:p>
    <w:p>
      <w:pPr>
        <w:pStyle w:val="FirstParagraph"/>
      </w:pPr>
      <w:r>
        <w:t xml:space="preserve">Per</w:t>
      </w:r>
      <w:r>
        <w:t xml:space="preserve"> </w:t>
      </w:r>
      <w:r>
        <w:rPr>
          <w:rStyle w:val="VerbatimChar"/>
        </w:rPr>
        <w:t xml:space="preserve">gcc-boundary-solution-architecture.qmd</w:t>
      </w:r>
      <w:r>
        <w:t xml:space="preserve">,</w:t>
      </w:r>
      <w:r>
        <w:t xml:space="preserve"> </w:t>
      </w:r>
      <w:r>
        <w:t xml:space="preserve">FMP addresses each impact dimension through in-boundary mechanisms rather</w:t>
      </w:r>
      <w:r>
        <w:t xml:space="preserve"> </w:t>
      </w:r>
      <w:r>
        <w:t xml:space="preserve">than waiting for Microsoft to fix the platform: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Boundary probe</w:t>
      </w:r>
      <w:r>
        <w:t xml:space="preserve"> </w:t>
      </w:r>
      <w:r>
        <w:t xml:space="preserve">— programmatically tests which features actually</w:t>
      </w:r>
      <w:r>
        <w:t xml:space="preserve"> </w:t>
      </w:r>
      <w:r>
        <w:t xml:space="preserve">function on each side, producing a structured capability disposition</w:t>
      </w:r>
      <w:r>
        <w:t xml:space="preserve"> </w:t>
      </w:r>
      <w:r>
        <w:t xml:space="preserve">instead of a portal screenshot.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In-boundary telemetry</w:t>
      </w:r>
      <w:r>
        <w:t xml:space="preserve"> </w:t>
      </w:r>
      <w:r>
        <w:t xml:space="preserve">— adapters that operate inside the</w:t>
      </w:r>
      <w:r>
        <w:t xml:space="preserve"> </w:t>
      </w:r>
      <w:r>
        <w:t xml:space="preserve">GCC-Moderate boundary and emit canonical claims with explicit</w:t>
      </w:r>
      <w:r>
        <w:t xml:space="preserve"> </w:t>
      </w:r>
      <w:r>
        <w:rPr>
          <w:rStyle w:val="VerbatimChar"/>
        </w:rPr>
        <w:t xml:space="preserve">source_classification: derived</w:t>
      </w:r>
      <w:r>
        <w:t xml:space="preserve"> </w:t>
      </w:r>
      <w:r>
        <w:t xml:space="preserve">when they substitute for an</w:t>
      </w:r>
      <w:r>
        <w:t xml:space="preserve"> </w:t>
      </w:r>
      <w:r>
        <w:t xml:space="preserve">unavailable commercial signal.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Compensating enforcement</w:t>
      </w:r>
      <w:r>
        <w:t xml:space="preserve"> </w:t>
      </w:r>
      <w:r>
        <w:t xml:space="preserve">— agency-side enforcement adapters for</w:t>
      </w:r>
      <w:r>
        <w:t xml:space="preserve"> </w:t>
      </w:r>
      <w:r>
        <w:t xml:space="preserve">controls that platform features cannot provide, with their evidence</w:t>
      </w:r>
      <w:r>
        <w:t xml:space="preserve"> </w:t>
      </w:r>
      <w:r>
        <w:t xml:space="preserve">flowing through the same</w:t>
      </w:r>
      <w:r>
        <w:t xml:space="preserve"> </w:t>
      </w:r>
      <w:hyperlink r:id="rId25">
        <w:r>
          <w:rPr>
            <w:rStyle w:val="Hyperlink"/>
          </w:rPr>
          <w:t xml:space="preserve">Evidence Chain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ATO documentation surface</w:t>
      </w:r>
      <w:r>
        <w:t xml:space="preserve"> </w:t>
      </w:r>
      <w:r>
        <w:t xml:space="preserve">— the boundary impact is captured as a</w:t>
      </w:r>
      <w:r>
        <w:t xml:space="preserve"> </w:t>
      </w:r>
      <w:r>
        <w:t xml:space="preserve">first-class artifact that the SSP, POA&amp;M, and Component Definition all</w:t>
      </w:r>
      <w:r>
        <w:t xml:space="preserve"> </w:t>
      </w:r>
      <w:r>
        <w:t xml:space="preserve">reference, rather than as a series of footnotes.</w:t>
      </w:r>
    </w:p>
    <w:bookmarkEnd w:id="26"/>
    <w:bookmarkStart w:id="27" w:name="X52a398d0729e64a707d49ae1013732a33049a04"/>
    <w:p>
      <w:pPr>
        <w:pStyle w:val="Heading2"/>
      </w:pPr>
      <w:r>
        <w:t xml:space="preserve">Why this is an architectural concern, not a compliance concern</w:t>
      </w:r>
    </w:p>
    <w:p>
      <w:pPr>
        <w:pStyle w:val="FirstParagraph"/>
      </w:pPr>
      <w:r>
        <w:t xml:space="preserve">Two reasons the boundary impact model lives in the Architecture Series and</w:t>
      </w:r>
      <w:r>
        <w:t xml:space="preserve"> </w:t>
      </w:r>
      <w:r>
        <w:t xml:space="preserve">not in the Compliance section: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It changes the topology of the substrate.</w:t>
      </w:r>
      <w:r>
        <w:t xml:space="preserve"> </w:t>
      </w:r>
      <w:r>
        <w:t xml:space="preserve">A boundary crossing</w:t>
      </w:r>
      <w:r>
        <w:t xml:space="preserve"> </w:t>
      </w:r>
      <w:r>
        <w:t xml:space="preserve">redefines which plane is authoritative for which claim. That is a</w:t>
      </w:r>
      <w:r>
        <w:t xml:space="preserve"> </w:t>
      </w:r>
      <w:r>
        <w:t xml:space="preserve">structural property of the architecture, not a control mapping.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It is the same problem on every boundary.</w:t>
      </w:r>
      <w:r>
        <w:t xml:space="preserve"> </w:t>
      </w:r>
      <w:r>
        <w:t xml:space="preserve">GCC-Moderate is the</w:t>
      </w:r>
      <w:r>
        <w:t xml:space="preserve"> </w:t>
      </w:r>
      <w:r>
        <w:t xml:space="preserve">worked example, but identity-federation boundaries, classified-network</w:t>
      </w:r>
      <w:r>
        <w:t xml:space="preserve"> </w:t>
      </w:r>
      <w:r>
        <w:t xml:space="preserve">boundaries, and agency-to-agency boundaries all instantiate the same</w:t>
      </w:r>
      <w:r>
        <w:t xml:space="preserve"> </w:t>
      </w:r>
      <w:r>
        <w:t xml:space="preserve">four-dimension model. Solving it once architecturally is cheaper than</w:t>
      </w:r>
      <w:r>
        <w:t xml:space="preserve"> </w:t>
      </w:r>
      <w:r>
        <w:t xml:space="preserve">re-solving it per compliance regime.</w:t>
      </w:r>
    </w:p>
    <w:bookmarkEnd w:id="27"/>
    <w:bookmarkStart w:id="28" w:name="what-this-means-for-an-ato-package"/>
    <w:p>
      <w:pPr>
        <w:pStyle w:val="Heading2"/>
      </w:pPr>
      <w:r>
        <w:t xml:space="preserve">What this means for an ATO package</w:t>
      </w:r>
    </w:p>
    <w:p>
      <w:pPr>
        <w:pStyle w:val="FirstParagraph"/>
      </w:pPr>
      <w:r>
        <w:t xml:space="preserve">An FMP-anchored ATO package treats every authorization boundary as a</w:t>
      </w:r>
      <w:r>
        <w:t xml:space="preserve"> </w:t>
      </w:r>
      <w:r>
        <w:rPr>
          <w:b/>
          <w:bCs/>
        </w:rPr>
        <w:t xml:space="preserve">named, modeled, drift-monitored surface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The boundary itself appears in the SSP, with disposition data per the</w:t>
      </w:r>
      <w:r>
        <w:t xml:space="preserve"> </w:t>
      </w:r>
      <w:r>
        <w:t xml:space="preserve">four impact dimensions.</w:t>
      </w:r>
    </w:p>
    <w:p>
      <w:pPr>
        <w:pStyle w:val="Compact"/>
        <w:numPr>
          <w:ilvl w:val="0"/>
          <w:numId w:val="1005"/>
        </w:numPr>
      </w:pPr>
      <w:r>
        <w:t xml:space="preserve">Compensating mechanisms are documented per impact dimension, not as</w:t>
      </w:r>
      <w:r>
        <w:t xml:space="preserve"> </w:t>
      </w:r>
      <w:r>
        <w:t xml:space="preserve">generic mitigations.</w:t>
      </w:r>
    </w:p>
    <w:p>
      <w:pPr>
        <w:pStyle w:val="Compact"/>
        <w:numPr>
          <w:ilvl w:val="0"/>
          <w:numId w:val="1005"/>
        </w:numPr>
      </w:pPr>
      <w:r>
        <w:t xml:space="preserve">Drift findings cite the boundary they crossed (e.g.</w:t>
      </w:r>
      <w:r>
        <w:t xml:space="preserve"> </w:t>
      </w:r>
      <w:r>
        <w:rPr>
          <w:rStyle w:val="VerbatimChar"/>
        </w:rPr>
        <w:t xml:space="preserve">DRIFT-PROVENANCE @ gcc-moderate-edge</w:t>
      </w:r>
      <w:r>
        <w:t xml:space="preserve">), making remediation scope</w:t>
      </w:r>
      <w:r>
        <w:t xml:space="preserve"> </w:t>
      </w:r>
      <w:r>
        <w:t xml:space="preserve">explicit.</w:t>
      </w:r>
    </w:p>
    <w:p>
      <w:pPr>
        <w:pStyle w:val="FirstParagraph"/>
      </w:pPr>
      <w:r>
        <w:t xml:space="preserve">This is what makes the GCC-Moderate boundary tractable: the substrate</w:t>
      </w:r>
      <w:r>
        <w:t xml:space="preserve"> </w:t>
      </w:r>
      <w:r>
        <w:t xml:space="preserve">treats the boundary itself as a first-class governed object, not as an</w:t>
      </w:r>
      <w:r>
        <w:t xml:space="preserve"> </w:t>
      </w:r>
      <w:r>
        <w:t xml:space="preserve">implicit assumption embedded in every control narrative.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svg" /><Relationship Type="http://schemas.openxmlformats.org/officeDocument/2006/relationships/image" Id="rId21" Target="media/rId21.svg" /><Relationship Type="http://schemas.openxmlformats.org/officeDocument/2006/relationships/image" Id="rId12" Target="media/rId12.png" /><Relationship Type="http://schemas.openxmlformats.org/officeDocument/2006/relationships/hyperlink" Id="rId19" Target="drift-engine.md" TargetMode="External" /><Relationship Type="http://schemas.openxmlformats.org/officeDocument/2006/relationships/hyperlink" Id="rId25" Target="evidence-chai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drift-engine.md" TargetMode="External" /><Relationship Type="http://schemas.openxmlformats.org/officeDocument/2006/relationships/hyperlink" Id="rId25" Target="evidence-chai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Boundary Impact Model</dc:title>
  <dc:creator/>
  <cp:keywords/>
  <dcterms:created xsi:type="dcterms:W3CDTF">2026-10-19T10:09:12Z</dcterms:created>
  <dcterms:modified xsi:type="dcterms:W3CDTF">2026-10-19T10:09:12Z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docs/docs/gcc-boundary-solution-architecture.qmd</vt:lpwstr>
  </property>
  <property fmtid="{D5CDD505-2E9C-101B-9397-08002B2CF9AE}" pid="6" name="derived-from">
    <vt:lpwstr>fmp canon</vt:lpwstr>
  </property>
  <property fmtid="{D5CDD505-2E9C-101B-9397-08002B2CF9AE}" pid="7" name="doc-type">
    <vt:lpwstr>architecture-explainer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ifecycle">
    <vt:lpwstr>adopted</vt:lpwstr>
  </property>
  <property fmtid="{D5CDD505-2E9C-101B-9397-08002B2CF9AE}" pid="13" name="lifecycle_review">
    <vt:lpwstr>2026-11-22</vt:lpwstr>
  </property>
  <property fmtid="{D5CDD505-2E9C-101B-9397-08002B2CF9AE}" pid="14" name="subtitle">
    <vt:lpwstr>Modeling authorization boundaries and their governance implications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