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change-control-and-provenance-doctrine"/>
    <w:p>
      <w:pPr>
        <w:pStyle w:val="Heading1"/>
      </w:pPr>
      <w:r>
        <w:t xml:space="preserve">Change Control and Provenance Doctrine</w:t>
      </w:r>
    </w:p>
    <w:p>
      <w:pPr>
        <w:pStyle w:val="FirstParagraph"/>
      </w:pPr>
      <w:r>
        <w:rPr>
          <w:b/>
          <w:bCs/>
        </w:rPr>
        <w:t xml:space="preserve">Every operational change travels an authorized path that originates from a single source of truth and closes with evidence</w:t>
      </w:r>
    </w:p>
    <w:bookmarkStart w:id="9" w:name="the-five-clause-path"/>
    <w:p>
      <w:pPr>
        <w:pStyle w:val="Heading2"/>
      </w:pPr>
      <w:r>
        <w:t xml:space="preserve">The five-clause path</w:t>
      </w:r>
    </w:p>
    <w:p>
      <w:pPr>
        <w:pStyle w:val="FirstParagraph"/>
      </w:pPr>
      <w:r>
        <w:t xml:space="preserve">Every operational change in the estate — every</w:t>
      </w:r>
      <w:r>
        <w:t xml:space="preserve"> </w:t>
      </w:r>
      <w:r>
        <w:rPr>
          <w:b/>
          <w:bCs/>
        </w:rPr>
        <w:t xml:space="preserve">Move, Add, Change, Deletion, and Reset (MACD-R)</w:t>
      </w:r>
      <w:r>
        <w:t xml:space="preserve"> </w:t>
      </w:r>
      <w:r>
        <w:t xml:space="preserve">— travels five clauses, and an operation that skips one is unauthorized by construction: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It originates with the single source of truth.</w:t>
      </w:r>
      <w:r>
        <w:t xml:space="preserve"> </w:t>
      </w:r>
      <w:r>
        <w:t xml:space="preserve">Work is created by divergence between the source of truth and the estate — a joiner in the HR system of record, a control gap against the compliance baseline, a migration wave in the modernization plan. A task with no single-source-of-truth origin is an ad-hoc assertion: nothing authoritative asked for it, so nothing authoritative can attest it.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It carries an authoritative authorization in the path.</w:t>
      </w:r>
      <w:r>
        <w:t xml:space="preserve"> </w:t>
      </w:r>
      <w:r>
        <w:t xml:space="preserve">The approval resolves from the authority model, not from whoever is nearby: the owner and approver derive from the same source of truth that originated the work, and any pre-authorized lanes are standing authorizations — recorded grants with scope and expiry, never the absence of approval.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It executes under least privilege, elevated just-in-time.</w:t>
      </w:r>
      <w:r>
        <w:t xml:space="preserve"> </w:t>
      </w:r>
      <w:r>
        <w:t xml:space="preserve">The executing actor — human or automation — activates a time-boxed, scoped role at execution and holds no standing privilege. The activation record is part of the operation’s evidence, binding</w:t>
      </w:r>
      <w:r>
        <w:t xml:space="preserve"> </w:t>
      </w:r>
      <w:r>
        <w:rPr>
          <w:i/>
          <w:iCs/>
        </w:rPr>
        <w:t xml:space="preserve">who could act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what was done</w:t>
      </w:r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It closes with provenance.</w:t>
      </w:r>
      <w:r>
        <w:t xml:space="preserve"> </w:t>
      </w:r>
      <w:r>
        <w:t xml:space="preserve">No closure counts unless it carries its proof. The closing update carries the verification payload that justified it — the probe result, the posture query, the re-test output — with a timestamp and the identity of the checking mechanism. A closure record without a verification payload does not validate.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It emits verified, secured evidence — automatically.</w:t>
      </w:r>
      <w:r>
        <w:t xml:space="preserve"> </w:t>
      </w:r>
      <w:r>
        <w:t xml:space="preserve">The closure record, integrity-protected and carrying its lineage (originating record, authorization, just-in-time activation, verification payload), flows into the continuous-monitoring stream with no human assembly. Evidence a person compiles arrives late and unverifiable; evidence the lifecycle emits arrives continuously and carries its own chain of custody.</w:t>
      </w:r>
    </w:p>
    <w:p>
      <w:pPr>
        <w:pStyle w:val="FirstParagraph"/>
      </w:pPr>
      <w:r>
        <w:t xml:space="preserve">The five clauses are one chain:</w:t>
      </w:r>
      <w:r>
        <w:t xml:space="preserve"> </w:t>
      </w:r>
      <w:r>
        <w:rPr>
          <w:b/>
          <w:bCs/>
        </w:rPr>
        <w:t xml:space="preserve">single-source-of-truth-originated → authoritatively authorized → least-privilege executed → provenance-closed → evidence-emitted back to the reporting plane</w:t>
      </w:r>
      <w:r>
        <w:t xml:space="preserve">.</w:t>
      </w:r>
    </w:p>
    <w:bookmarkEnd w:id="9"/>
    <w:bookmarkStart w:id="11" w:name="closure-provenance-doctrine"/>
    <w:p>
      <w:pPr>
        <w:pStyle w:val="Heading2"/>
      </w:pPr>
      <w:r>
        <w:t xml:space="preserve">Closure Provenance Doctrine</w:t>
      </w:r>
    </w:p>
    <w:p>
      <w:pPr>
        <w:pStyle w:val="FirstParagraph"/>
      </w:pPr>
      <w:r>
        <w:t xml:space="preserve">No closure counts unless it carries its proof.</w:t>
      </w:r>
    </w:p>
    <w:p>
      <w:pPr>
        <w:pStyle w:val="BodyText"/>
      </w:pPr>
      <w:r>
        <w:t xml:space="preserve">A remediation task, a daily operational check, a plan-of-action milestone, or a control test closed by a human clicking “complete” — with no machine-readable verification attached to the closing record — is prose, not evidence. It asserts that work happened; it proves nothing an assessor can consume.</w:t>
      </w:r>
    </w:p>
    <w:bookmarkStart w:id="10" w:name="three-requirements"/>
    <w:p>
      <w:pPr>
        <w:pStyle w:val="Heading3"/>
      </w:pPr>
      <w:r>
        <w:t xml:space="preserve">Three requirements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Every closure carries provenance.</w:t>
      </w:r>
      <w:r>
        <w:t xml:space="preserve"> </w:t>
      </w:r>
      <w:r>
        <w:t xml:space="preserve">The closing update carries the verification payload that justified it, with a timestamp and the identity of the checking mechanism. The close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contract: a closure record without a verification payload does not validate.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Human-only closure is an exception state, not a path.</w:t>
      </w:r>
      <w:r>
        <w:t xml:space="preserve"> </w:t>
      </w:r>
      <w:r>
        <w:t xml:space="preserve">It remains possible — operations need an escape hatch — but it is visibly flagged, counted separately, and never silently aggregated into control tests, continuous-monitoring evidence, or service-level attainment. An attestation pipeline that cannot distinguish probe-backed closures from attested-only ones attests fiction.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Reports are derivations, never compilations.</w:t>
      </w:r>
      <w:r>
        <w:t xml:space="preserve"> </w:t>
      </w:r>
      <w:r>
        <w:t xml:space="preserve">Every report in the coordination plane — continuous-monitoring roll-ups, plan-of-action aging, patch service-level attainment, evidence feeds — is derived from the closure stream by a generator that can be re-run and diffed. A report that cannot be regenerated from closure records is an artifact of effort, not of state.</w:t>
      </w:r>
    </w:p>
    <w:bookmarkEnd w:id="10"/>
    <w:bookmarkEnd w:id="11"/>
    <w:bookmarkStart w:id="12" w:name="non-human-class-sources-of-truth"/>
    <w:p>
      <w:pPr>
        <w:pStyle w:val="Heading2"/>
      </w:pPr>
      <w:r>
        <w:t xml:space="preserve">Non-human class sources of truth</w:t>
      </w:r>
    </w:p>
    <w:p>
      <w:pPr>
        <w:pStyle w:val="FirstParagraph"/>
      </w:pPr>
      <w:r>
        <w:t xml:space="preserve">The non-human classes that a modernization moves have designated sources of truth of their own: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Devices</w:t>
      </w:r>
      <w:r>
        <w:t xml:space="preserve"> </w:t>
      </w:r>
      <w:r>
        <w:t xml:space="preserve">originate in the asset-lifecycle registry. Device-management enrollment is enforcement, not truth.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Declared infrastructure</w:t>
      </w:r>
      <w:r>
        <w:t xml:space="preserve"> </w:t>
      </w:r>
      <w:r>
        <w:t xml:space="preserve">originates in the infrastructure-as-code repository.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Every item migrated must carry a human owner</w:t>
      </w:r>
      <w:r>
        <w:t xml:space="preserve"> </w:t>
      </w:r>
      <w:r>
        <w:t xml:space="preserve">resolvable in the HR source of truth. An ownerless item is an orphan finding before it is a migration candidate.</w:t>
      </w:r>
    </w:p>
    <w:bookmarkEnd w:id="12"/>
    <w:bookmarkStart w:id="13" w:name="application-at-migration-scale"/>
    <w:p>
      <w:pPr>
        <w:pStyle w:val="Heading2"/>
      </w:pPr>
      <w:r>
        <w:t xml:space="preserve">Application at migration scale</w:t>
      </w:r>
    </w:p>
    <w:p>
      <w:pPr>
        <w:pStyle w:val="FirstParagraph"/>
      </w:pPr>
      <w:r>
        <w:t xml:space="preserve">A migration wave is a batch of Moves originated by the modernization plan’s source of truth, each executed under a just-in-time role and each emitting per-object closure evidence. This is how a migration stays an audited operation instead of a weekend of standing administrative rights.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2026-10-19T10:09:12Z</dcterms:created>
  <dcterms:modified xsi:type="dcterms:W3CDTF">2026-10-19T10:09:12Z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