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3" w:name="continuous-monitoring-strategy"/>
    <w:p>
      <w:pPr>
        <w:pStyle w:val="Heading1"/>
      </w:pPr>
      <w:r>
        <w:t xml:space="preserve">Continuous Monitoring Strategy</w:t>
      </w:r>
    </w:p>
    <w:p>
      <w:pPr>
        <w:pStyle w:val="FirstParagraph"/>
      </w:pPr>
      <w:r>
        <w:t xml:space="preserve">Objectives and cadence for ongoing evidence collection after modernization.</w:t>
      </w:r>
    </w:p>
    <w:bookmarkStart w:id="9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Modernization does not end at cutover. Continuous monitoring detects drift, confirms controls remain effective, and supplies evidence for residual risk reviews and compliance reporting.</w:t>
      </w:r>
    </w:p>
    <w:bookmarkEnd w:id="9"/>
    <w:bookmarkStart w:id="10" w:name="objectives"/>
    <w:p>
      <w:pPr>
        <w:pStyle w:val="Heading2"/>
      </w:pPr>
      <w:r>
        <w:t xml:space="preserve">Objectives</w:t>
      </w:r>
    </w:p>
    <w:p>
      <w:pPr>
        <w:pStyle w:val="Compact"/>
        <w:numPr>
          <w:ilvl w:val="0"/>
          <w:numId w:val="1001"/>
        </w:numPr>
      </w:pPr>
      <w:r>
        <w:t xml:space="preserve">Detect configuration and attribute drift within a defined window.</w:t>
      </w:r>
    </w:p>
    <w:p>
      <w:pPr>
        <w:pStyle w:val="Compact"/>
        <w:numPr>
          <w:ilvl w:val="0"/>
          <w:numId w:val="1001"/>
        </w:numPr>
      </w:pPr>
      <w:r>
        <w:t xml:space="preserve">Confirm that Conditional Access, compliance policies, and governance attributes remain effective.</w:t>
      </w:r>
    </w:p>
    <w:p>
      <w:pPr>
        <w:pStyle w:val="Compact"/>
        <w:numPr>
          <w:ilvl w:val="0"/>
          <w:numId w:val="1001"/>
        </w:numPr>
      </w:pPr>
      <w:r>
        <w:t xml:space="preserve">Provide evidence for residual risk acceptance and control assessments.</w:t>
      </w:r>
    </w:p>
    <w:p>
      <w:pPr>
        <w:pStyle w:val="Compact"/>
        <w:numPr>
          <w:ilvl w:val="0"/>
          <w:numId w:val="1001"/>
        </w:numPr>
      </w:pPr>
      <w:r>
        <w:t xml:space="preserve">Alert on high-severity findings before they become incidents.</w:t>
      </w:r>
    </w:p>
    <w:bookmarkEnd w:id="10"/>
    <w:bookmarkStart w:id="11" w:name="cadence"/>
    <w:p>
      <w:pPr>
        <w:pStyle w:val="Heading2"/>
      </w:pPr>
      <w:r>
        <w:t xml:space="preserve">Cadence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Signal type</w:t>
            </w:r>
          </w:p>
        </w:tc>
        <w:tc>
          <w:tcPr/>
          <w:p>
            <w:pPr>
              <w:pStyle w:val="Compact"/>
            </w:pPr>
            <w:r>
              <w:t xml:space="preserve">Collection frequency</w:t>
            </w:r>
          </w:p>
        </w:tc>
        <w:tc>
          <w:tcPr/>
          <w:p>
            <w:pPr>
              <w:pStyle w:val="Compact"/>
            </w:pPr>
            <w:r>
              <w:t xml:space="preserve">Review frequency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Critical drift findings</w:t>
            </w:r>
          </w:p>
        </w:tc>
        <w:tc>
          <w:tcPr/>
          <w:p>
            <w:pPr>
              <w:pStyle w:val="Compact"/>
            </w:pPr>
            <w:r>
              <w:t xml:space="preserve">Continuous or hourly</w:t>
            </w:r>
          </w:p>
        </w:tc>
        <w:tc>
          <w:tcPr/>
          <w:p>
            <w:pPr>
              <w:pStyle w:val="Compact"/>
            </w:pPr>
            <w:r>
              <w:t xml:space="preserve">Immediate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 and Conditional Access hits</w:t>
            </w:r>
          </w:p>
        </w:tc>
        <w:tc>
          <w:tcPr/>
          <w:p>
            <w:pPr>
              <w:pStyle w:val="Compact"/>
            </w:pPr>
            <w:r>
              <w:t xml:space="preserve">Daily</w:t>
            </w:r>
          </w:p>
        </w:tc>
        <w:tc>
          <w:tcPr/>
          <w:p>
            <w:pPr>
              <w:pStyle w:val="Compact"/>
            </w:pPr>
            <w:r>
              <w:t xml:space="preserve">Weekly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Attribute and group membership changes</w:t>
            </w:r>
          </w:p>
        </w:tc>
        <w:tc>
          <w:tcPr/>
          <w:p>
            <w:pPr>
              <w:pStyle w:val="Compact"/>
            </w:pPr>
            <w:r>
              <w:t xml:space="preserve">Daily</w:t>
            </w:r>
          </w:p>
        </w:tc>
        <w:tc>
          <w:tcPr/>
          <w:p>
            <w:pPr>
              <w:pStyle w:val="Compact"/>
            </w:pPr>
            <w:r>
              <w:t xml:space="preserve">Weekly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Residual risk register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Monthly or on change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control assessment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Quarterly</w:t>
            </w:r>
          </w:p>
        </w:tc>
      </w:tr>
    </w:tbl>
    <w:bookmarkEnd w:id="11"/>
    <w:bookmarkStart w:id="12" w:name="evidence-retention"/>
    <w:p>
      <w:pPr>
        <w:pStyle w:val="Heading2"/>
      </w:pPr>
      <w:r>
        <w:t xml:space="preserve">Evidence retention</w:t>
      </w:r>
    </w:p>
    <w:p>
      <w:pPr>
        <w:pStyle w:val="FirstParagraph"/>
      </w:pPr>
      <w:r>
        <w:t xml:space="preserve">Retain findings, approvals, and verification results long enough to support audit and incident review. Evidence is immutable once written.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2026-10-19T10:09:12Z</dcterms:created>
  <dcterms:modified xsi:type="dcterms:W3CDTF">2026-10-19T10:09:12Z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