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2.svg" ContentType="image/svg+xml"/>
  <Override PartName="/word/media/rId17.svg" ContentType="image/svg+xml"/>
  <Override PartName="/word/media/rId13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Drift Engine</w:t>
      </w:r>
    </w:p>
    <w:p>
      <w:pPr>
        <w:pStyle w:val="Subtitle"/>
      </w:pPr>
      <w:r>
        <w:t xml:space="preserve">How FMP detects and remediates canonical drift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1" w:name="drift-engine"/>
    <w:p>
      <w:pPr>
        <w:pStyle w:val="Heading1"/>
      </w:pPr>
      <w:r>
        <w:t xml:space="preserve">Drift Engine</w:t>
      </w:r>
    </w:p>
    <w:p>
      <w:pPr>
        <w:pStyle w:val="CaptionedFigure"/>
      </w:pPr>
      <w:r>
        <w:drawing>
          <wp:inline>
            <wp:extent cx="5334000" cy="5334000"/>
            <wp:effectExtent b="0" l="0" r="0" t="0"/>
            <wp:docPr descr="Illustration: the five drift classes rising from canonical truth." title="" id="10" name="Picture"/>
            <a:graphic>
              <a:graphicData uri="http://schemas.openxmlformats.org/drawingml/2006/picture">
                <pic:pic>
                  <pic:nvPicPr>
                    <pic:cNvPr descr="../images/architecture/drift-engine-image-01-drift-taxonomy-state-diagra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Illustration: the five drift classes rising from canonical truth.</w:t>
      </w:r>
    </w:p>
    <w:p>
      <w:pPr>
        <w:pStyle w:val="BodyText"/>
      </w:pPr>
      <w:r>
        <w:t xml:space="preserve">FMP treats</w:t>
      </w:r>
      <w:r>
        <w:t xml:space="preserve"> </w:t>
      </w:r>
      <w:r>
        <w:rPr>
          <w:b/>
          <w:bCs/>
        </w:rPr>
        <w:t xml:space="preserve">drift as a first-class operational signal</w:t>
      </w:r>
      <w:r>
        <w:t xml:space="preserve">, not as an</w:t>
      </w:r>
      <w:r>
        <w:t xml:space="preserve"> </w:t>
      </w:r>
      <w:r>
        <w:t xml:space="preserve">exception. The Drift Engine is the substrate-wide subsystem that classifies,</w:t>
      </w:r>
      <w:r>
        <w:t xml:space="preserve"> </w:t>
      </w:r>
      <w:r>
        <w:t xml:space="preserve">prioritizes, and remediates the gap between</w:t>
      </w:r>
      <w:r>
        <w:t xml:space="preserve"> </w:t>
      </w:r>
      <w:r>
        <w:rPr>
          <w:i/>
          <w:iCs/>
        </w:rPr>
        <w:t xml:space="preserve">declared</w:t>
      </w:r>
      <w:r>
        <w:t xml:space="preserve"> </w:t>
      </w:r>
      <w:r>
        <w:t xml:space="preserve">canonical state and</w:t>
      </w:r>
      <w:r>
        <w:t xml:space="preserve"> </w:t>
      </w:r>
      <w:r>
        <w:rPr>
          <w:i/>
          <w:iCs/>
        </w:rPr>
        <w:t xml:space="preserve">observed</w:t>
      </w:r>
      <w:r>
        <w:t xml:space="preserve"> </w:t>
      </w:r>
      <w:r>
        <w:t xml:space="preserve">runtime reality.</w:t>
      </w:r>
    </w:p>
    <w:p>
      <w:pPr>
        <w:pStyle w:val="BodyText"/>
      </w:pPr>
      <w:r>
        <w:t xml:space="preserve">The companion executive brief is</w:t>
      </w:r>
      <w:r>
        <w:t xml:space="preserve"> </w:t>
      </w:r>
      <w:hyperlink r:id="rId12">
        <w:r>
          <w:rPr>
            <w:rStyle w:val="Hyperlink"/>
          </w:rPr>
          <w:t xml:space="preserve">Drift Engine Overview</w:t>
        </w:r>
      </w:hyperlink>
      <w:r>
        <w:t xml:space="preserve">. This</w:t>
      </w:r>
      <w:r>
        <w:t xml:space="preserve"> </w:t>
      </w:r>
      <w:r>
        <w:t xml:space="preserve">page is the architectural depth: how the engine is structured, what it</w:t>
      </w:r>
      <w:r>
        <w:t xml:space="preserve"> </w:t>
      </w:r>
      <w:r>
        <w:t xml:space="preserve">catches today, and what is reserved for runtime maturity.</w:t>
      </w:r>
    </w:p>
    <w:p>
      <w:pPr>
        <w:pStyle w:val="CaptionedFigure"/>
      </w:pPr>
      <w:r>
        <w:drawing>
          <wp:inline>
            <wp:extent cx="5334000" cy="2388472"/>
            <wp:effectExtent b="0" l="0" r="0" t="0"/>
            <wp:docPr descr="The five drift classes, what each means, and where detection ships today." title="" id="14" name="Picture"/>
            <a:graphic>
              <a:graphicData uri="http://schemas.openxmlformats.org/drawingml/2006/picture">
                <pic:pic>
                  <pic:nvPicPr>
                    <pic:cNvPr descr="../images/diagrams/architecture/svg/drift-engine-taxonomy.svg" id="1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8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five drift classes, what each means, and where detection ships today.</w:t>
      </w:r>
    </w:p>
    <w:bookmarkStart w:id="16" w:name="five-class-taxonomy"/>
    <w:p>
      <w:pPr>
        <w:pStyle w:val="Heading2"/>
      </w:pPr>
      <w:r>
        <w:t xml:space="preserve">Five-class taxonomy</w:t>
      </w:r>
    </w:p>
    <w:p>
      <w:pPr>
        <w:pStyle w:val="FirstParagraph"/>
      </w:pPr>
      <w:r>
        <w:t xml:space="preserve">FMP defines exactly five drift classes, declared in</w:t>
      </w:r>
      <w:r>
        <w:t xml:space="preserve"> </w:t>
      </w:r>
      <w:r>
        <w:rPr>
          <w:rStyle w:val="VerbatimChar"/>
        </w:rPr>
        <w:t xml:space="preserve">16_DriftDetectionStandard.qmd</w:t>
      </w:r>
      <w:r>
        <w:t xml:space="preserve"> </w:t>
      </w:r>
      <w:r>
        <w:t xml:space="preserve">§2: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  <w:tc>
          <w:tcPr/>
          <w:p>
            <w:pPr>
              <w:pStyle w:val="Compact"/>
            </w:pPr>
            <w:r>
              <w:t xml:space="preserve">Detection surface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DRIFT-SCHEMA</w:t>
            </w:r>
          </w:p>
        </w:tc>
        <w:tc>
          <w:tcPr/>
          <w:p>
            <w:pPr>
              <w:pStyle w:val="Compact"/>
            </w:pPr>
            <w:r>
              <w:t xml:space="preserve">Claim structure no longer matches canonical schema</w:t>
            </w:r>
          </w:p>
        </w:tc>
        <w:tc>
          <w:tcPr/>
          <w:p>
            <w:pPr>
              <w:pStyle w:val="Compact"/>
            </w:pPr>
            <w:r>
              <w:t xml:space="preserve">CI substrate walker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DRIFT-SEMANTIC</w:t>
            </w:r>
          </w:p>
        </w:tc>
        <w:tc>
          <w:tcPr/>
          <w:p>
            <w:pPr>
              <w:pStyle w:val="Compact"/>
            </w:pPr>
            <w:r>
              <w:t xml:space="preserve">Structure valid, meaning stale or inconsistent</w:t>
            </w:r>
          </w:p>
        </w:tc>
        <w:tc>
          <w:tcPr/>
          <w:p>
            <w:pPr>
              <w:pStyle w:val="Compact"/>
            </w:pPr>
            <w:r>
              <w:t xml:space="preserve">Runtime conformance runner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DRIFT-PROVENANCE</w:t>
            </w:r>
          </w:p>
        </w:tc>
        <w:tc>
          <w:tcPr/>
          <w:p>
            <w:pPr>
              <w:pStyle w:val="Compact"/>
            </w:pPr>
            <w:r>
              <w:t xml:space="preserve">Provenance envelope incomplete, invalid, or chain broken</w:t>
            </w:r>
          </w:p>
        </w:tc>
        <w:tc>
          <w:tcPr/>
          <w:p>
            <w:pPr>
              <w:pStyle w:val="Compact"/>
            </w:pPr>
            <w:r>
              <w:t xml:space="preserve">CI substrate walker +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DRIFT-AUTHZ</w:t>
            </w:r>
          </w:p>
        </w:tc>
        <w:tc>
          <w:tcPr/>
          <w:p>
            <w:pPr>
              <w:pStyle w:val="Compact"/>
            </w:pPr>
            <w:r>
              <w:t xml:space="preserve">Claim transmitted outside authorized consent envelope</w:t>
            </w:r>
          </w:p>
        </w:tc>
        <w:tc>
          <w:tcPr/>
          <w:p>
            <w:pPr>
              <w:pStyle w:val="Compact"/>
            </w:pPr>
            <w:r>
              <w:t xml:space="preserve">Runtime conformance runner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DRIFT-IDENTITY</w:t>
            </w:r>
          </w:p>
        </w:tc>
        <w:tc>
          <w:tcPr/>
          <w:p>
            <w:pPr>
              <w:pStyle w:val="Compact"/>
            </w:pPr>
            <w:r>
              <w:t xml:space="preserve">Issuer cannot be resolved to a verified identity-plane object</w:t>
            </w:r>
          </w:p>
        </w:tc>
        <w:tc>
          <w:tcPr/>
          <w:p>
            <w:pPr>
              <w:pStyle w:val="Compact"/>
            </w:pPr>
            <w:r>
              <w:t xml:space="preserve">Runtime conformance runner</w:t>
            </w:r>
          </w:p>
        </w:tc>
      </w:tr>
    </w:tbl>
    <w:p>
      <w:pPr>
        <w:pStyle w:val="BodyText"/>
      </w:pPr>
      <w:r>
        <w:t xml:space="preserve">Five is the right number because each class corresponds to a distinct failure</w:t>
      </w:r>
      <w:r>
        <w:t xml:space="preserve"> </w:t>
      </w:r>
      <w:r>
        <w:t xml:space="preserve">mode that requires a distinct remediation contract. Collapsing them (e.g.</w:t>
      </w:r>
      <w:r>
        <w:t xml:space="preserve"> </w:t>
      </w:r>
      <w:r>
        <w:t xml:space="preserve">calling everything</w:t>
      </w:r>
      <w:r>
        <w:t xml:space="preserve"> </w:t>
      </w:r>
      <w:r>
        <w:t xml:space="preserve">“configuration drift”</w:t>
      </w:r>
      <w:r>
        <w:t xml:space="preserve">) loses the ability to assign</w:t>
      </w:r>
      <w:r>
        <w:t xml:space="preserve"> </w:t>
      </w:r>
      <w:r>
        <w:t xml:space="preserve">severity and SLA deterministically.</w:t>
      </w:r>
    </w:p>
    <w:bookmarkEnd w:id="16"/>
    <w:bookmarkStart w:id="20" w:name="severity-model"/>
    <w:p>
      <w:pPr>
        <w:pStyle w:val="Heading2"/>
      </w:pPr>
      <w:r>
        <w:t xml:space="preserve">Severity model</w:t>
      </w:r>
    </w:p>
    <w:p>
      <w:pPr>
        <w:pStyle w:val="FirstParagraph"/>
      </w:pPr>
      <w:r>
        <w:t xml:space="preserve">Every drift finding carries a severity, also canonically defined: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</w:p>
        </w:tc>
        <w:tc>
          <w:tcPr/>
          <w:p>
            <w:pPr>
              <w:pStyle w:val="Compact"/>
            </w:pPr>
            <w:r>
              <w:t xml:space="preserve">Auto-remediate?</w:t>
            </w:r>
          </w:p>
        </w:tc>
        <w:tc>
          <w:tcPr/>
          <w:p>
            <w:pPr>
              <w:pStyle w:val="Compact"/>
            </w:pPr>
            <w:r>
              <w:t xml:space="preserve">SLA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P1</w:t>
            </w:r>
            <w:r>
              <w:t xml:space="preserve"> </w:t>
            </w:r>
            <w:r>
              <w:t xml:space="preserve">(critical)</w:t>
            </w:r>
          </w:p>
        </w:tc>
        <w:tc>
          <w:tcPr/>
          <w:p>
            <w:pPr>
              <w:pStyle w:val="Compact"/>
            </w:pPr>
            <w:r>
              <w:t xml:space="preserve">Active-use claim with provenance or identity drift</w:t>
            </w:r>
          </w:p>
        </w:tc>
        <w:tc>
          <w:tcPr/>
          <w:p>
            <w:pPr>
              <w:pStyle w:val="Compact"/>
            </w:pPr>
            <w:r>
              <w:t xml:space="preserve">No — halt + alert</w:t>
            </w:r>
          </w:p>
        </w:tc>
        <w:tc>
          <w:tcPr/>
          <w:p>
            <w:pPr>
              <w:pStyle w:val="Compact"/>
            </w:pPr>
            <w:r>
              <w:t xml:space="preserve">Immediate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P2</w:t>
            </w:r>
            <w:r>
              <w:t xml:space="preserve"> </w:t>
            </w:r>
            <w:r>
              <w:t xml:space="preserve">(high)</w:t>
            </w:r>
          </w:p>
        </w:tc>
        <w:tc>
          <w:tcPr/>
          <w:p>
            <w:pPr>
              <w:pStyle w:val="Compact"/>
            </w:pPr>
            <w:r>
              <w:t xml:space="preserve">Live schema or semantic drift</w:t>
            </w:r>
          </w:p>
        </w:tc>
        <w:tc>
          <w:tcPr/>
          <w:p>
            <w:pPr>
              <w:pStyle w:val="Compact"/>
            </w:pPr>
            <w:r>
              <w:t xml:space="preserve">Yes, if deterministic</w:t>
            </w:r>
          </w:p>
        </w:tc>
        <w:tc>
          <w:tcPr/>
          <w:p>
            <w:pPr>
              <w:pStyle w:val="Compact"/>
            </w:pPr>
            <w:r>
              <w:t xml:space="preserve">1 hour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P3</w:t>
            </w:r>
            <w:r>
              <w:t xml:space="preserve"> </w:t>
            </w:r>
            <w:r>
              <w:t xml:space="preserve">(medium)</w:t>
            </w:r>
          </w:p>
        </w:tc>
        <w:tc>
          <w:tcPr/>
          <w:p>
            <w:pPr>
              <w:pStyle w:val="Compact"/>
            </w:pPr>
            <w:r>
              <w:t xml:space="preserve">Drift in dormant or historical claim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24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P4</w:t>
            </w:r>
            <w:r>
              <w:t xml:space="preserve"> </w:t>
            </w:r>
            <w:r>
              <w:t xml:space="preserve">(low)</w:t>
            </w:r>
          </w:p>
        </w:tc>
        <w:tc>
          <w:tcPr/>
          <w:p>
            <w:pPr>
              <w:pStyle w:val="Compact"/>
            </w:pPr>
            <w:r>
              <w:t xml:space="preserve">Style or metadata drift, no semantic impact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72 hours</w:t>
            </w:r>
          </w:p>
        </w:tc>
      </w:tr>
    </w:tbl>
    <w:p>
      <w:pPr>
        <w:pStyle w:val="BodyText"/>
      </w:pPr>
      <w:r>
        <w:t xml:space="preserve">Severity is computed deterministically from the drift class plus the liveness</w:t>
      </w:r>
      <w:r>
        <w:t xml:space="preserve"> </w:t>
      </w:r>
      <w:r>
        <w:t xml:space="preserve">of the affected claim — it is not a judgment call.</w:t>
      </w:r>
    </w:p>
    <w:p>
      <w:pPr>
        <w:pStyle w:val="CaptionedFigure"/>
      </w:pPr>
      <w:r>
        <w:drawing>
          <wp:inline>
            <wp:extent cx="5334000" cy="3159369"/>
            <wp:effectExtent b="0" l="0" r="0" t="0"/>
            <wp:docPr descr="Severity follows from class and liveness; each severity has a fixed path, and every path emits a remediation contract." title="" id="18" name="Picture"/>
            <a:graphic>
              <a:graphicData uri="http://schemas.openxmlformats.org/drawingml/2006/picture">
                <pic:pic>
                  <pic:nvPicPr>
                    <pic:cNvPr descr="../images/diagrams/architecture/svg/drift-engine-remediation.svg" id="1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93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Severity follows from class and liveness; each severity has a fixed path, and every path emits a remediation contract.</w:t>
      </w:r>
    </w:p>
    <w:bookmarkEnd w:id="20"/>
    <w:bookmarkStart w:id="26" w:name="detection-surfaces"/>
    <w:p>
      <w:pPr>
        <w:pStyle w:val="Heading2"/>
      </w:pPr>
      <w:r>
        <w:t xml:space="preserve">Detection surfaces</w:t>
      </w:r>
    </w:p>
    <w:bookmarkStart w:id="21" w:name="ci-substrate-walker-shipped-today"/>
    <w:p>
      <w:pPr>
        <w:pStyle w:val="Heading3"/>
      </w:pPr>
      <w:r>
        <w:t xml:space="preserve">CI substrate walker (shipped today)</w:t>
      </w:r>
    </w:p>
    <w:p>
      <w:pPr>
        <w:pStyle w:val="FirstParagraph"/>
      </w:pPr>
      <w:r>
        <w:rPr>
          <w:rStyle w:val="VerbatimChar"/>
        </w:rPr>
        <w:t xml:space="preserve">fmp substrate walk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fmp substrate drift</w:t>
      </w:r>
      <w:r>
        <w:t xml:space="preserve"> </w:t>
      </w:r>
      <w:r>
        <w:t xml:space="preserve">(source) emit two drift classes</w:t>
      </w:r>
      <w:r>
        <w:t xml:space="preserve"> </w:t>
      </w:r>
      <w:r>
        <w:t xml:space="preserve">on every PR via</w:t>
      </w:r>
      <w:r>
        <w:t xml:space="preserve"> </w:t>
      </w:r>
      <w:r>
        <w:rPr>
          <w:rStyle w:val="VerbatimChar"/>
        </w:rPr>
        <w:t xml:space="preserve">substrate-drift.yml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DRIFT-SCHEMA</w:t>
      </w:r>
      <w:r>
        <w:t xml:space="preserve"> </w:t>
      </w:r>
      <w:r>
        <w:t xml:space="preserve">— verifies module paths declared in</w:t>
      </w:r>
      <w:r>
        <w:t xml:space="preserve"> </w:t>
      </w:r>
      <w:r>
        <w:rPr>
          <w:rStyle w:val="VerbatimChar"/>
        </w:rPr>
        <w:t xml:space="preserve">substrate-manifest.yaml</w:t>
      </w:r>
      <w:r>
        <w:t xml:space="preserve"> </w:t>
      </w:r>
      <w:r>
        <w:t xml:space="preserve">(FMP_200) actually exist in the tree.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DRIFT-PROVENANCE</w:t>
      </w:r>
      <w:r>
        <w:t xml:space="preserve"> </w:t>
      </w:r>
      <w:r>
        <w:t xml:space="preserve">— verifies that every registry document referenced</w:t>
      </w:r>
      <w:r>
        <w:t xml:space="preserve"> </w:t>
      </w:r>
      <w:r>
        <w:t xml:space="preserve">from a manifest, ADR, or registry resolves to a real canon artifact.</w:t>
      </w:r>
    </w:p>
    <w:p>
      <w:pPr>
        <w:pStyle w:val="FirstParagraph"/>
      </w:pPr>
      <w:r>
        <w:rPr>
          <w:rStyle w:val="VerbatimChar"/>
        </w:rPr>
        <w:t xml:space="preserve">fmp substrate drift</w:t>
      </w:r>
      <w:r>
        <w:t xml:space="preserve"> </w:t>
      </w:r>
      <w:r>
        <w:t xml:space="preserve">is the CI-friendly entry point: exit code 0 = clean,</w:t>
      </w:r>
      <w:r>
        <w:t xml:space="preserve"> </w:t>
      </w:r>
      <w:r>
        <w:t xml:space="preserve">non-zero = drift detected. The full structured report is available via</w:t>
      </w:r>
      <w:r>
        <w:t xml:space="preserve"> </w:t>
      </w:r>
      <w:r>
        <w:rPr>
          <w:rStyle w:val="VerbatimChar"/>
        </w:rPr>
        <w:t xml:space="preserve">fmp substrate walk --json</w:t>
      </w:r>
      <w:r>
        <w:t xml:space="preserve">.</w:t>
      </w:r>
    </w:p>
    <w:bookmarkEnd w:id="21"/>
    <w:bookmarkStart w:id="25" w:name="Xf062c1a930184bbb8d0da42bbeede7cdb981116"/>
    <w:p>
      <w:pPr>
        <w:pStyle w:val="Heading3"/>
      </w:pPr>
      <w:r>
        <w:t xml:space="preserve">Runtime conformance runner (target / partial)</w:t>
      </w:r>
    </w:p>
    <w:p>
      <w:pPr>
        <w:pStyle w:val="FirstParagraph"/>
      </w:pPr>
      <w:r>
        <w:t xml:space="preserve">The runtime detection surface — semantic, authorization, identity — is</w:t>
      </w:r>
      <w:r>
        <w:t xml:space="preserve"> </w:t>
      </w:r>
      <w:r>
        <w:t xml:space="preserve">defined in canon and partially implemented. Adapters that pass the runtime</w:t>
      </w:r>
      <w:r>
        <w:t xml:space="preserve"> </w:t>
      </w:r>
      <w:r>
        <w:t xml:space="preserve">conformance runner emit a remediation contract for every drift event:</w:t>
      </w:r>
    </w:p>
    <w:p>
      <w:pPr>
        <w:pStyle w:val="SourceCode"/>
      </w:pPr>
      <w:r>
        <w:rPr>
          <w:rStyle w:val="FunctionTok"/>
        </w:rPr>
        <w:t xml:space="preserve">remediation_contract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drift_class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"DRIFT-*"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severity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"P1|P2|P3|P4"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detection_timestamp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ISO8601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detected_by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"{adapter_id | workflow_id}"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auto_remediated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true | false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remediation_action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"halt | fix | flag | log"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remediation_timestamp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ISO8601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remediation_evidence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"{commit_sha | audit_record_id}"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escalation_path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"Canon Steward | Architecture Lead | CISO"</w:t>
      </w:r>
    </w:p>
    <w:p>
      <w:pPr>
        <w:pStyle w:val="FirstParagraph"/>
      </w:pPr>
      <w:r>
        <w:t xml:space="preserve">Source:</w:t>
      </w:r>
      <w:r>
        <w:t xml:space="preserve"> </w:t>
      </w:r>
      <w:r>
        <w:rPr>
          <w:rStyle w:val="VerbatimChar"/>
        </w:rPr>
        <w:t xml:space="preserve">16_DriftDetectionStandard.qmd</w:t>
      </w:r>
      <w:r>
        <w:t xml:space="preserve"> </w:t>
      </w:r>
      <w:r>
        <w:t xml:space="preserve">§4.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Drift Fabric</w:t>
      </w:r>
      <w:r>
        <w:t xml:space="preserve"> </w:t>
      </w:r>
      <w:r>
        <w:t xml:space="preserve">view ties the detection surfaces above into a single</w:t>
      </w:r>
      <w:r>
        <w:t xml:space="preserve"> </w:t>
      </w:r>
      <w:r>
        <w:t xml:space="preserve">pipeline — canonical state read, delta comparison, classification, and the</w:t>
      </w:r>
      <w:r>
        <w:t xml:space="preserve"> </w:t>
      </w:r>
      <w:r>
        <w:t xml:space="preserve">HIGH/CRITICAL escalation arrow into the Governance Plane:</w:t>
      </w:r>
    </w:p>
    <w:p>
      <w:pPr>
        <w:pStyle w:val="CaptionedFigure"/>
      </w:pPr>
      <w:r>
        <w:drawing>
          <wp:inline>
            <wp:extent cx="5334000" cy="1550854"/>
            <wp:effectExtent b="0" l="0" r="0" t="0"/>
            <wp:docPr descr="The drift pipeline: read canonical state, compare, classify, record, and escalate critical and high findings." title="" id="23" name="Picture"/>
            <a:graphic>
              <a:graphicData uri="http://schemas.openxmlformats.org/drawingml/2006/picture">
                <pic:pic>
                  <pic:nvPicPr>
                    <pic:cNvPr descr="../images/diagrams/architecture/svg/drift-engine-pipeline.svg" id="2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508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drift pipeline: read canonical state, compare, classify, record, and escalate critical and high findings.</w:t>
      </w:r>
    </w:p>
    <w:bookmarkEnd w:id="25"/>
    <w:bookmarkEnd w:id="26"/>
    <w:bookmarkStart w:id="27" w:name="maturity-matrix"/>
    <w:p>
      <w:pPr>
        <w:pStyle w:val="Heading2"/>
      </w:pPr>
      <w:r>
        <w:t xml:space="preserve">Maturity matrix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Drift class</w:t>
            </w:r>
          </w:p>
        </w:tc>
        <w:tc>
          <w:tcPr/>
          <w:p>
            <w:pPr>
              <w:pStyle w:val="Compact"/>
            </w:pPr>
            <w:r>
              <w:t xml:space="preserve">CI surface</w:t>
            </w:r>
          </w:p>
        </w:tc>
        <w:tc>
          <w:tcPr/>
          <w:p>
            <w:pPr>
              <w:pStyle w:val="Compact"/>
            </w:pPr>
            <w:r>
              <w:t xml:space="preserve">Runtime surface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DRIFT-SCHEMA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DRIFT-PROVENANCE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DRIFT-SEMANTIC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TARGET</w:t>
            </w:r>
            <w:r>
              <w:t xml:space="preserve"> </w:t>
            </w:r>
            <w:r>
              <w:t xml:space="preserve">(partial)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DRIFT-AUTHZ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DESIGN-ONLY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DRIFT-IDENTITY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DESIGN-ONLY</w:t>
            </w:r>
          </w:p>
        </w:tc>
      </w:tr>
    </w:tbl>
    <w:p>
      <w:pPr>
        <w:pStyle w:val="BodyText"/>
      </w:pPr>
      <w:r>
        <w:t xml:space="preserve">For an authoritative shipped-vs-target snapshot, see</w:t>
      </w:r>
      <w:r>
        <w:t xml:space="preserve"> </w:t>
      </w:r>
      <w:r>
        <w:t xml:space="preserve">Substrate Status.</w:t>
      </w:r>
    </w:p>
    <w:bookmarkEnd w:id="27"/>
    <w:bookmarkStart w:id="29" w:name="X3f9f8dca56a8fb20a938e8e7a0312aa7099fa9c"/>
    <w:p>
      <w:pPr>
        <w:pStyle w:val="Heading2"/>
      </w:pPr>
      <w:r>
        <w:t xml:space="preserve">Why this is different from a config-drift tool</w:t>
      </w:r>
    </w:p>
    <w:p>
      <w:pPr>
        <w:pStyle w:val="FirstParagraph"/>
      </w:pPr>
      <w:r>
        <w:t xml:space="preserve">Three properties distinguish the FMP Drift Engine from generic</w:t>
      </w:r>
      <w:r>
        <w:t xml:space="preserve"> </w:t>
      </w:r>
      <w:r>
        <w:t xml:space="preserve">configuration-drift tooling: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Canon-anchored, not snapshot-anchored.</w:t>
      </w:r>
      <w:r>
        <w:t xml:space="preserve"> </w:t>
      </w:r>
      <w:r>
        <w:t xml:space="preserve">Drift is measured against a</w:t>
      </w:r>
      <w:r>
        <w:t xml:space="preserve"> </w:t>
      </w:r>
      <w:r>
        <w:t xml:space="preserve">numbered canon document with a version, not against an arbitrary</w:t>
      </w:r>
      <w:r>
        <w:t xml:space="preserve"> </w:t>
      </w:r>
      <w:r>
        <w:t xml:space="preserve">“last-known-good”</w:t>
      </w:r>
      <w:r>
        <w:t xml:space="preserve"> </w:t>
      </w:r>
      <w:r>
        <w:t xml:space="preserve">snapshot. Reproducibility is built in: the same canon</w:t>
      </w:r>
      <w:r>
        <w:t xml:space="preserve"> </w:t>
      </w:r>
      <w:r>
        <w:t xml:space="preserve">version always yields the same expected state.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Five-class taxonomy with deterministic severity.</w:t>
      </w:r>
      <w:r>
        <w:t xml:space="preserve"> </w:t>
      </w:r>
      <w:r>
        <w:t xml:space="preserve">Operators do not</w:t>
      </w:r>
      <w:r>
        <w:t xml:space="preserve"> </w:t>
      </w:r>
      <w:r>
        <w:t xml:space="preserve">triage drift findings; severity is a pure function of class plus</w:t>
      </w:r>
      <w:r>
        <w:t xml:space="preserve"> </w:t>
      </w:r>
      <w:r>
        <w:t xml:space="preserve">liveness. This collapses the</w:t>
      </w:r>
      <w:r>
        <w:t xml:space="preserve"> </w:t>
      </w:r>
      <w:r>
        <w:t xml:space="preserve">“is this serious?”</w:t>
      </w:r>
      <w:r>
        <w:t xml:space="preserve"> </w:t>
      </w:r>
      <w:r>
        <w:t xml:space="preserve">debate into</w:t>
      </w:r>
      <w:r>
        <w:t xml:space="preserve"> </w:t>
      </w:r>
      <w:r>
        <w:t xml:space="preserve">“did the</w:t>
      </w:r>
      <w:r>
        <w:t xml:space="preserve"> </w:t>
      </w:r>
      <w:r>
        <w:t xml:space="preserve">classifier run correctly?”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Remediation contracts are first-class evidence.</w:t>
      </w:r>
      <w:r>
        <w:t xml:space="preserve"> </w:t>
      </w:r>
      <w:r>
        <w:t xml:space="preserve">Every remediation —</w:t>
      </w:r>
      <w:r>
        <w:t xml:space="preserve"> </w:t>
      </w:r>
      <w:r>
        <w:t xml:space="preserve">auto or human — emits an evidence record that flows back through the</w:t>
      </w:r>
      <w:r>
        <w:t xml:space="preserve"> </w:t>
      </w:r>
      <w:hyperlink r:id="rId28">
        <w:r>
          <w:rPr>
            <w:rStyle w:val="Hyperlink"/>
          </w:rPr>
          <w:t xml:space="preserve">Evidence Chain</w:t>
        </w:r>
      </w:hyperlink>
      <w:r>
        <w:t xml:space="preserve"> </w:t>
      </w:r>
      <w:r>
        <w:t xml:space="preserve">into OSCAL artifacts. There is no</w:t>
      </w:r>
      <w:r>
        <w:t xml:space="preserve"> </w:t>
      </w:r>
      <w:r>
        <w:t xml:space="preserve">parallel</w:t>
      </w:r>
      <w:r>
        <w:t xml:space="preserve"> </w:t>
      </w:r>
      <w:r>
        <w:t xml:space="preserve">“drift log”</w:t>
      </w:r>
      <w:r>
        <w:t xml:space="preserve"> </w:t>
      </w:r>
      <w:r>
        <w:t xml:space="preserve">disconnected from the SSP.</w:t>
      </w:r>
    </w:p>
    <w:bookmarkEnd w:id="29"/>
    <w:bookmarkStart w:id="30" w:name="what-this-means-for-an-ato-package"/>
    <w:p>
      <w:pPr>
        <w:pStyle w:val="Heading2"/>
      </w:pPr>
      <w:r>
        <w:t xml:space="preserve">What this means for an ATO package</w:t>
      </w:r>
    </w:p>
    <w:p>
      <w:pPr>
        <w:pStyle w:val="FirstParagraph"/>
      </w:pPr>
      <w:r>
        <w:t xml:space="preserve">A drift finding in an FMP-anchored system carries:</w:t>
      </w:r>
    </w:p>
    <w:p>
      <w:pPr>
        <w:pStyle w:val="Compact"/>
        <w:numPr>
          <w:ilvl w:val="0"/>
          <w:numId w:val="1003"/>
        </w:numPr>
      </w:pPr>
      <w:r>
        <w:t xml:space="preserve">A canonical class (</w:t>
      </w:r>
      <w:r>
        <w:rPr>
          <w:rStyle w:val="VerbatimChar"/>
        </w:rPr>
        <w:t xml:space="preserve">DRIFT-*</w:t>
      </w:r>
      <w:r>
        <w:t xml:space="preserve">) traceable to FMP_200 / canon-numbered</w:t>
      </w:r>
      <w:r>
        <w:t xml:space="preserve"> </w:t>
      </w:r>
      <w:r>
        <w:t xml:space="preserve">drift standard.</w:t>
      </w:r>
    </w:p>
    <w:p>
      <w:pPr>
        <w:pStyle w:val="Compact"/>
        <w:numPr>
          <w:ilvl w:val="0"/>
          <w:numId w:val="1003"/>
        </w:numPr>
      </w:pPr>
      <w:r>
        <w:t xml:space="preserve">A severity computed deterministically.</w:t>
      </w:r>
    </w:p>
    <w:p>
      <w:pPr>
        <w:pStyle w:val="Compact"/>
        <w:numPr>
          <w:ilvl w:val="0"/>
          <w:numId w:val="1003"/>
        </w:numPr>
      </w:pPr>
      <w:r>
        <w:t xml:space="preserve">A remediation contract with timestamps, action, and signed evidence.</w:t>
      </w:r>
    </w:p>
    <w:p>
      <w:pPr>
        <w:pStyle w:val="Compact"/>
        <w:numPr>
          <w:ilvl w:val="0"/>
          <w:numId w:val="1003"/>
        </w:numPr>
      </w:pPr>
      <w:r>
        <w:t xml:space="preserve">An escalation path that lands at a named role, not a generic distribution</w:t>
      </w:r>
      <w:r>
        <w:t xml:space="preserve"> </w:t>
      </w:r>
      <w:r>
        <w:t xml:space="preserve">list.</w:t>
      </w:r>
    </w:p>
    <w:p>
      <w:pPr>
        <w:pStyle w:val="FirstParagraph"/>
      </w:pPr>
      <w:r>
        <w:t xml:space="preserve">3PAOs assessing such a system can verify the drift posture by running</w:t>
      </w:r>
      <w:r>
        <w:t xml:space="preserve"> </w:t>
      </w:r>
      <w:r>
        <w:rPr>
          <w:rStyle w:val="VerbatimChar"/>
        </w:rPr>
        <w:t xml:space="preserve">fmp substrate walk</w:t>
      </w:r>
      <w:r>
        <w:t xml:space="preserve"> </w:t>
      </w:r>
      <w:r>
        <w:t xml:space="preserve">themselves rather than trusting a snapshot — the engine</w:t>
      </w:r>
      <w:r>
        <w:t xml:space="preserve"> </w:t>
      </w:r>
      <w:r>
        <w:t xml:space="preserve">is designed for independent re-execution.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2" Target="media/rId22.svg" /><Relationship Type="http://schemas.openxmlformats.org/officeDocument/2006/relationships/image" Id="rId17" Target="media/rId17.svg" /><Relationship Type="http://schemas.openxmlformats.org/officeDocument/2006/relationships/image" Id="rId13" Target="media/rId13.svg" /><Relationship Type="http://schemas.openxmlformats.org/officeDocument/2006/relationships/hyperlink" Id="rId12" Target="../executive-briefs/drift-engine-overview.md" TargetMode="External" /><Relationship Type="http://schemas.openxmlformats.org/officeDocument/2006/relationships/hyperlink" Id="rId28" Target="evidence-chain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executive-briefs/drift-engine-overview.md" TargetMode="External" /><Relationship Type="http://schemas.openxmlformats.org/officeDocument/2006/relationships/hyperlink" Id="rId28" Target="evidence-chain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Drift Engine</dc:title>
  <dc:creator/>
  <cp:keywords/>
  <dcterms:created xsi:type="dcterms:W3CDTF">2026-10-19T10:09:13Z</dcterms:created>
  <dcterms:modified xsi:type="dcterms:W3CDTF">2026-10-19T10:09:13Z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source">
    <vt:lpwstr>docs/docs/16_DriftDetectionStandard.qmd</vt:lpwstr>
  </property>
  <property fmtid="{D5CDD505-2E9C-101B-9397-08002B2CF9AE}" pid="5" name="derived-from">
    <vt:lpwstr>fmp canon</vt:lpwstr>
  </property>
  <property fmtid="{D5CDD505-2E9C-101B-9397-08002B2CF9AE}" pid="6" name="doc-type">
    <vt:lpwstr>architecture-explainer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adopted</vt:lpwstr>
  </property>
  <property fmtid="{D5CDD505-2E9C-101B-9397-08002B2CF9AE}" pid="12" name="lifecycle_review">
    <vt:lpwstr>2026-11-22</vt:lpwstr>
  </property>
  <property fmtid="{D5CDD505-2E9C-101B-9397-08002B2CF9AE}" pid="13" name="subtitle">
    <vt:lpwstr>How FMP detects and remediates canonical drift</vt:lpwstr>
  </property>
  <property fmtid="{D5CDD505-2E9C-101B-9397-08002B2CF9AE}" pid="14" name="tiers_adopted">
    <vt:lpwstr/>
  </property>
  <property fmtid="{D5CDD505-2E9C-101B-9397-08002B2CF9AE}" pid="15" name="toc-title">
    <vt:lpwstr>Table of contents</vt:lpwstr>
  </property>
</Properties>
</file>