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0.svg" ContentType="image/svg+xml"/>
  <Override PartName="/word/media/rId16.svg" ContentType="image/svg+xml"/>
  <Override PartName="/word/media/rId13.svg" ContentType="image/svg+xml"/>
  <Override PartName="/word/media/rId24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Evidence Chain</w:t>
      </w:r>
    </w:p>
    <w:p>
      <w:pPr>
        <w:pStyle w:val="Subtitle"/>
      </w:pPr>
      <w:r>
        <w:t xml:space="preserve">How FMP turns telemetry into assessor-ready evidence with traceable provenance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1" w:name="evidence-chain"/>
    <w:p>
      <w:pPr>
        <w:pStyle w:val="Heading1"/>
      </w:pPr>
      <w:r>
        <w:t xml:space="preserve">Evidence Chain</w:t>
      </w:r>
    </w:p>
    <w:p>
      <w:pPr>
        <w:pStyle w:val="CaptionedFigure"/>
      </w:pPr>
      <w:r>
        <w:drawing>
          <wp:inline>
            <wp:extent cx="5334000" cy="5334000"/>
            <wp:effectExtent b="0" l="0" r="0" t="0"/>
            <wp:docPr descr="Illustration: telemetry becoming OSCAL artifacts in four stages." title="" id="10" name="Picture"/>
            <a:graphic>
              <a:graphicData uri="http://schemas.openxmlformats.org/drawingml/2006/picture">
                <pic:pic>
                  <pic:nvPicPr>
                    <pic:cNvPr descr="../images/architecture/evidence-chain-image-01-four-stage-evidence-pipeline-di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Illustration: telemetry becoming OSCAL artifacts in four stages.</w:t>
      </w:r>
    </w:p>
    <w:p>
      <w:pPr>
        <w:pStyle w:val="BodyText"/>
      </w:pPr>
      <w:r>
        <w:t xml:space="preserve">FMP’s evidence chain is the architectural mechanism that turns runtime</w:t>
      </w:r>
      <w:r>
        <w:t xml:space="preserve"> </w:t>
      </w:r>
      <w:r>
        <w:t xml:space="preserve">telemetry into</w:t>
      </w:r>
      <w:r>
        <w:t xml:space="preserve"> </w:t>
      </w:r>
      <w:r>
        <w:rPr>
          <w:b/>
          <w:bCs/>
        </w:rPr>
        <w:t xml:space="preserve">assessor-ready compliance artifacts with traceable</w:t>
      </w:r>
      <w:r>
        <w:rPr>
          <w:b/>
          <w:bCs/>
        </w:rPr>
        <w:t xml:space="preserve"> </w:t>
      </w:r>
      <w:r>
        <w:rPr>
          <w:b/>
          <w:bCs/>
        </w:rPr>
        <w:t xml:space="preserve">provenance at every step</w:t>
      </w:r>
      <w:r>
        <w:t xml:space="preserve">. The chain is deterministic: same inputs, same</w:t>
      </w:r>
      <w:r>
        <w:t xml:space="preserve"> </w:t>
      </w:r>
      <w:r>
        <w:t xml:space="preserve">canon version, same evidence bundle.</w:t>
      </w:r>
    </w:p>
    <w:p>
      <w:pPr>
        <w:pStyle w:val="BodyText"/>
      </w:pPr>
      <w:r>
        <w:t xml:space="preserve">The companion executive brief is</w:t>
      </w:r>
      <w:r>
        <w:t xml:space="preserve"> </w:t>
      </w:r>
      <w:hyperlink r:id="rId12">
        <w:r>
          <w:rPr>
            <w:rStyle w:val="Hyperlink"/>
          </w:rPr>
          <w:t xml:space="preserve">Evidence Fabric Overview</w:t>
        </w:r>
      </w:hyperlink>
      <w:r>
        <w:t xml:space="preserve">.</w:t>
      </w:r>
      <w:r>
        <w:t xml:space="preserve"> </w:t>
      </w:r>
      <w:r>
        <w:t xml:space="preserve">This page is the architectural depth — the four-stage pipeline, the</w:t>
      </w:r>
      <w:r>
        <w:t xml:space="preserve"> </w:t>
      </w:r>
      <w:r>
        <w:t xml:space="preserve">provenance envelope, and the determinism guarantees.</w:t>
      </w:r>
    </w:p>
    <w:p>
      <w:pPr>
        <w:pStyle w:val="CaptionedFigure"/>
      </w:pPr>
      <w:r>
        <w:drawing>
          <wp:inline>
            <wp:extent cx="5334000" cy="1168323"/>
            <wp:effectExtent b="0" l="0" r="0" t="0"/>
            <wp:docPr descr="The evidence chain in four stages, from telemetry to OSCAL artifacts." title="" id="14" name="Picture"/>
            <a:graphic>
              <a:graphicData uri="http://schemas.openxmlformats.org/drawingml/2006/picture">
                <pic:pic>
                  <pic:nvPicPr>
                    <pic:cNvPr descr="../images/diagrams/architecture/svg/evidence-chain-pipeline.svg" id="1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8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evidence chain in four stages, from telemetry to OSCAL artifacts.</w:t>
      </w:r>
    </w:p>
    <w:bookmarkStart w:id="19" w:name="four-stage-pipeline"/>
    <w:p>
      <w:pPr>
        <w:pStyle w:val="Heading2"/>
      </w:pPr>
      <w:r>
        <w:t xml:space="preserve">Four-stage pipeline</w:t>
      </w:r>
    </w:p>
    <w:p>
      <w:pPr>
        <w:pStyle w:val="FirstParagraph"/>
      </w:pPr>
      <w:r>
        <w:t xml:space="preserve">Stage-by-stage responsibility: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Telemetry event capture</w:t>
      </w:r>
      <w:r>
        <w:t xml:space="preserve"> </w:t>
      </w:r>
      <w:r>
        <w:t xml:space="preserve">— adapters at the system boundary emit</w:t>
      </w:r>
      <w:r>
        <w:t xml:space="preserve"> </w:t>
      </w:r>
      <w:r>
        <w:t xml:space="preserve">structured events. Each adapter declares its</w:t>
      </w:r>
      <w:r>
        <w:t xml:space="preserve"> </w:t>
      </w:r>
      <w:r>
        <w:rPr>
          <w:rStyle w:val="VerbatimChar"/>
        </w:rPr>
        <w:t xml:space="preserve">mission-class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boundary</w:t>
      </w:r>
      <w:r>
        <w:t xml:space="preserve"> </w:t>
      </w:r>
      <w:r>
        <w:t xml:space="preserve">so the captured event carries authoritative source classification</w:t>
      </w:r>
      <w:r>
        <w:t xml:space="preserve"> </w:t>
      </w:r>
      <w:r>
        <w:t xml:space="preserve">from the moment of emission.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Canonical claim normalization</w:t>
      </w:r>
      <w:r>
        <w:t xml:space="preserve"> </w:t>
      </w:r>
      <w:r>
        <w:t xml:space="preserve">— every event is wrapped in the</w:t>
      </w:r>
      <w:r>
        <w:t xml:space="preserve"> </w:t>
      </w:r>
      <w:r>
        <w:t xml:space="preserve">provenance envelope defined in</w:t>
      </w:r>
      <w:r>
        <w:t xml:space="preserve"> </w:t>
      </w:r>
      <w:r>
        <w:rPr>
          <w:rStyle w:val="VerbatimChar"/>
        </w:rPr>
        <w:t xml:space="preserve">15_ProvenanceProfile.qmd</w:t>
      </w:r>
      <w:r>
        <w:t xml:space="preserve"> </w:t>
      </w:r>
      <w:r>
        <w:t xml:space="preserve">§3.</w:t>
      </w:r>
      <w:r>
        <w:t xml:space="preserve"> </w:t>
      </w:r>
      <w:r>
        <w:t xml:space="preserve">This is the chain’s structural backbone (see below).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Evidence bundle assembly + sealing</w:t>
      </w:r>
      <w:r>
        <w:t xml:space="preserve"> </w:t>
      </w:r>
      <w:r>
        <w:t xml:space="preserve">— claims are grouped into bundles</w:t>
      </w:r>
      <w:r>
        <w:t xml:space="preserve"> </w:t>
      </w:r>
      <w:r>
        <w:t xml:space="preserve">per the program decision</w:t>
      </w:r>
      <w:r>
        <w:t xml:space="preserve"> </w:t>
      </w:r>
      <w:r>
        <w:t xml:space="preserve">(assemble → seal → submit → close). Bundles are validated against</w:t>
      </w:r>
      <w:r>
        <w:t xml:space="preserve"> </w:t>
      </w:r>
      <w:r>
        <w:rPr>
          <w:rStyle w:val="VerbatimChar"/>
        </w:rPr>
        <w:t xml:space="preserve">evidence-bundle.schema.json</w:t>
      </w:r>
      <w:r>
        <w:t xml:space="preserve"> </w:t>
      </w:r>
      <w:r>
        <w:t xml:space="preserve">which enforces hash-bearing provenance at item and bundle scope.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OSCAL artifact emission</w:t>
      </w:r>
      <w:r>
        <w:t xml:space="preserve"> </w:t>
      </w:r>
      <w:r>
        <w:t xml:space="preserve">— sealed bundles feed the OSCAL pipeline that</w:t>
      </w:r>
      <w:r>
        <w:t xml:space="preserve"> </w:t>
      </w:r>
      <w:r>
        <w:t xml:space="preserve">emits SSP, POA&amp;M, KSI dashboards, and Component Definitions, with every</w:t>
      </w:r>
      <w:r>
        <w:t xml:space="preserve"> </w:t>
      </w:r>
      <w:r>
        <w:t xml:space="preserve">field traceable back to the originating claim.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Truth Fabric</w:t>
      </w:r>
      <w:r>
        <w:t xml:space="preserve"> </w:t>
      </w:r>
      <w:r>
        <w:t xml:space="preserve">view of stages 1–2 is the canonical claim-intake</w:t>
      </w:r>
      <w:r>
        <w:t xml:space="preserve"> </w:t>
      </w:r>
      <w:r>
        <w:t xml:space="preserve">pipeline that turns adapter-signed events into the Canonical State Store</w:t>
      </w:r>
      <w:r>
        <w:t xml:space="preserve"> </w:t>
      </w:r>
      <w:r>
        <w:t xml:space="preserve">the rest of the chain reads from:</w:t>
      </w:r>
    </w:p>
    <w:p>
      <w:pPr>
        <w:pStyle w:val="CaptionedFigure"/>
      </w:pPr>
      <w:r>
        <w:drawing>
          <wp:inline>
            <wp:extent cx="5334000" cy="2022083"/>
            <wp:effectExtent b="0" l="0" r="0" t="0"/>
            <wp:docPr descr="Claim intake (stages 1–2): signed claims are validated, verified and identity-anchored into the canonical state store." title="" id="17" name="Picture"/>
            <a:graphic>
              <a:graphicData uri="http://schemas.openxmlformats.org/drawingml/2006/picture">
                <pic:pic>
                  <pic:nvPicPr>
                    <pic:cNvPr descr="../images/diagrams/architecture/svg/evidence-chain-intake.svg" id="1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22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Claim intake (stages 1–2): signed claims are validated, verified and identity-anchored into the canonical state store.</w:t>
      </w:r>
    </w:p>
    <w:bookmarkEnd w:id="19"/>
    <w:bookmarkStart w:id="23" w:name="provenance-envelope"/>
    <w:p>
      <w:pPr>
        <w:pStyle w:val="Heading2"/>
      </w:pPr>
      <w:r>
        <w:t xml:space="preserve">Provenance envelope</w:t>
      </w:r>
    </w:p>
    <w:p>
      <w:pPr>
        <w:pStyle w:val="FirstParagraph"/>
      </w:pPr>
      <w:r>
        <w:t xml:space="preserve">Every claim emitted into the chain carries this envelope, verbatim from</w:t>
      </w:r>
      <w:r>
        <w:t xml:space="preserve"> </w:t>
      </w:r>
      <w:r>
        <w:t xml:space="preserve">canon:</w:t>
      </w:r>
    </w:p>
    <w:p>
      <w:pPr>
        <w:pStyle w:val="SourceCode"/>
      </w:pPr>
      <w:r>
        <w:rPr>
          <w:rStyle w:val="FunctionTok"/>
        </w:rPr>
        <w:t xml:space="preserve">provenance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claim_id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"urn:fmp:claim:{domain}:{claim_type}:{uuid}"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issuer_identity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"{entra_object_id | agency_issuer_id}"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source_system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"{system_name}:{version}"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source_classification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"authoritative | derived | synthesized"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extraction_timestamp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ISO8601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extraction_method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"api | batch | stream | manual"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transformation_chain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step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transform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"{transform_name}"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applied_by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"{adapter_id}"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applied_at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ISO8601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lineage_hash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"{SHA-256 of source record at extraction}"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schema_version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"1.0"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signature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"{mTLS certificate thumbprint}"</w:t>
      </w:r>
    </w:p>
    <w:p>
      <w:pPr>
        <w:pStyle w:val="FirstParagraph"/>
      </w:pPr>
      <w:r>
        <w:t xml:space="preserve">Three properties of this envelope matter for assessor review: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source_classification</w:t>
      </w:r>
      <w:r>
        <w:rPr>
          <w:b/>
          <w:bCs/>
        </w:rPr>
        <w:t xml:space="preserve"> </w:t>
      </w:r>
      <w:r>
        <w:rPr>
          <w:b/>
          <w:bCs/>
        </w:rPr>
        <w:t xml:space="preserve">is canonical.</w:t>
      </w:r>
      <w:r>
        <w:t xml:space="preserve"> </w:t>
      </w:r>
      <w:r>
        <w:t xml:space="preserve">A claim is</w:t>
      </w:r>
      <w:r>
        <w:t xml:space="preserve"> </w:t>
      </w:r>
      <w:r>
        <w:rPr>
          <w:rStyle w:val="VerbatimChar"/>
        </w:rPr>
        <w:t xml:space="preserve">authoritative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or</w:t>
      </w:r>
      <w:r>
        <w:t xml:space="preserve"> </w:t>
      </w:r>
      <w:r>
        <w:rPr>
          <w:rStyle w:val="VerbatimChar"/>
        </w:rPr>
        <w:t xml:space="preserve">synthesized</w:t>
      </w:r>
      <w:r>
        <w:t xml:space="preserve"> </w:t>
      </w:r>
      <w:r>
        <w:t xml:space="preserve">— and a 3PAO can verify the classification</w:t>
      </w:r>
      <w:r>
        <w:t xml:space="preserve"> </w:t>
      </w:r>
      <w:r>
        <w:t xml:space="preserve">by re-executing the adapter. There is no</w:t>
      </w:r>
      <w:r>
        <w:t xml:space="preserve"> </w:t>
      </w:r>
      <w:r>
        <w:t xml:space="preserve">“trust me”</w:t>
      </w:r>
      <w:r>
        <w:t xml:space="preserve"> </w:t>
      </w:r>
      <w:r>
        <w:t xml:space="preserve">classification.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transformation_chain</w:t>
      </w:r>
      <w:r>
        <w:rPr>
          <w:b/>
          <w:bCs/>
        </w:rPr>
        <w:t xml:space="preserve"> </w:t>
      </w:r>
      <w:r>
        <w:rPr>
          <w:b/>
          <w:bCs/>
        </w:rPr>
        <w:t xml:space="preserve">is append-only.</w:t>
      </w:r>
      <w:r>
        <w:t xml:space="preserve"> </w:t>
      </w:r>
      <w:r>
        <w:t xml:space="preserve">Once a step is recorded and</w:t>
      </w:r>
      <w:r>
        <w:t xml:space="preserve"> </w:t>
      </w:r>
      <w:r>
        <w:t xml:space="preserve">signed, it cannot be removed or reordered. Re-execution that would</w:t>
      </w:r>
      <w:r>
        <w:t xml:space="preserve"> </w:t>
      </w:r>
      <w:r>
        <w:t xml:space="preserve">produce a different chain is itself a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lineage_hash</w:t>
      </w:r>
      <w:r>
        <w:rPr>
          <w:b/>
          <w:bCs/>
        </w:rPr>
        <w:t xml:space="preserve"> </w:t>
      </w:r>
      <w:r>
        <w:rPr>
          <w:b/>
          <w:bCs/>
        </w:rPr>
        <w:t xml:space="preserve">is per-claim.</w:t>
      </w:r>
      <w:r>
        <w:t xml:space="preserve"> </w:t>
      </w:r>
      <w:r>
        <w:t xml:space="preserve">Every claim hashes its source record at</w:t>
      </w:r>
      <w:r>
        <w:t xml:space="preserve"> </w:t>
      </w:r>
      <w:r>
        <w:t xml:space="preserve">extraction time. The bundle hash is computed over those hashes, giving</w:t>
      </w:r>
      <w:r>
        <w:t xml:space="preserve"> </w:t>
      </w:r>
      <w:r>
        <w:t xml:space="preserve">a tamper-evident tree.</w:t>
      </w:r>
    </w:p>
    <w:p>
      <w:pPr>
        <w:pStyle w:val="CaptionedFigure"/>
      </w:pPr>
      <w:r>
        <w:drawing>
          <wp:inline>
            <wp:extent cx="5334000" cy="3057407"/>
            <wp:effectExtent b="0" l="0" r="0" t="0"/>
            <wp:docPr descr="Per-claim lineage hashes roll up into the bundle hash, so a change anywhere breaks it." title="" id="21" name="Picture"/>
            <a:graphic>
              <a:graphicData uri="http://schemas.openxmlformats.org/drawingml/2006/picture">
                <pic:pic>
                  <pic:nvPicPr>
                    <pic:cNvPr descr="../images/diagrams/architecture/svg/evidence-chain-hash-tree.svg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74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Per-claim lineage hashes roll up into the bundle hash, so a change anywhere breaks it.</w:t>
      </w:r>
    </w:p>
    <w:bookmarkEnd w:id="23"/>
    <w:bookmarkStart w:id="27" w:name="X05cfaf2fdf045bb83dca2ba2ad06718d1a11631"/>
    <w:p>
      <w:pPr>
        <w:pStyle w:val="Heading2"/>
      </w:pPr>
      <w:r>
        <w:t xml:space="preserve">Determinism guarantees (the program decision)</w:t>
      </w:r>
    </w:p>
    <w:p>
      <w:pPr>
        <w:pStyle w:val="FirstParagraph"/>
      </w:pPr>
      <w:r>
        <w:t xml:space="preserve">Per the program decision,</w:t>
      </w:r>
      <w:r>
        <w:t xml:space="preserve"> </w:t>
      </w:r>
      <w:r>
        <w:t xml:space="preserve">the evidence chain is built for</w:t>
      </w:r>
      <w:r>
        <w:t xml:space="preserve"> </w:t>
      </w:r>
      <w:r>
        <w:rPr>
          <w:b/>
          <w:bCs/>
        </w:rPr>
        <w:t xml:space="preserve">deterministic regeneration</w:t>
      </w:r>
      <w:r>
        <w:t xml:space="preserve">. Concretely: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 silent drops.</w:t>
      </w:r>
      <w:r>
        <w:t xml:space="preserve"> </w:t>
      </w:r>
      <w:r>
        <w:t xml:space="preserve">Every input event is either accepted, rejected with</w:t>
      </w:r>
      <w:r>
        <w:t xml:space="preserve"> </w:t>
      </w:r>
      <w:r>
        <w:t xml:space="preserve">reason, or queued — never silently lost.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Append-only writes.</w:t>
      </w:r>
      <w:r>
        <w:t xml:space="preserve"> </w:t>
      </w:r>
      <w:r>
        <w:t xml:space="preserve">Evidence storage is immutable; updates are new</w:t>
      </w:r>
      <w:r>
        <w:t xml:space="preserve"> </w:t>
      </w:r>
      <w:r>
        <w:t xml:space="preserve">records that supersede prior ones with explicit provenance.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Ordered records.</w:t>
      </w:r>
      <w:r>
        <w:t xml:space="preserve"> </w:t>
      </w:r>
      <w:r>
        <w:t xml:space="preserve">Replays produce identical ordering, not</w:t>
      </w:r>
      <w:r>
        <w:t xml:space="preserve"> </w:t>
      </w:r>
      <w:r>
        <w:t xml:space="preserve">“best-effort”</w:t>
      </w:r>
      <w:r>
        <w:t xml:space="preserve"> </w:t>
      </w:r>
      <w:r>
        <w:t xml:space="preserve">ordering.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Idempotent ingestion.</w:t>
      </w:r>
      <w:r>
        <w:t xml:space="preserve"> </w:t>
      </w:r>
      <w:r>
        <w:t xml:space="preserve">Re-ingesting the same source record twice yields</w:t>
      </w:r>
      <w:r>
        <w:t xml:space="preserve"> </w:t>
      </w:r>
      <w:r>
        <w:t xml:space="preserve">the same canonical claim, not a duplicate.</w:t>
      </w:r>
    </w:p>
    <w:p>
      <w:pPr>
        <w:pStyle w:val="FirstParagraph"/>
      </w:pPr>
      <w:r>
        <w:t xml:space="preserve">The operational consequence: the same canon version processing the same</w:t>
      </w:r>
      <w:r>
        <w:t xml:space="preserve"> </w:t>
      </w:r>
      <w:r>
        <w:t xml:space="preserve">input bundle always produces a byte-identical evidence bundle. A 3PAO can</w:t>
      </w:r>
      <w:r>
        <w:t xml:space="preserve"> </w:t>
      </w:r>
      <w:r>
        <w:t xml:space="preserve">re-run the assembly months later and verify the bundle hash matches the</w:t>
      </w:r>
      <w:r>
        <w:t xml:space="preserve"> </w:t>
      </w:r>
      <w:r>
        <w:t xml:space="preserve">original, without coordinating with the original adapter operator.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Evidence Fabric</w:t>
      </w:r>
      <w:r>
        <w:t xml:space="preserve"> </w:t>
      </w:r>
      <w:r>
        <w:t xml:space="preserve">view of stages 3–4 shows the write-side pipeline</w:t>
      </w:r>
      <w:r>
        <w:t xml:space="preserve"> </w:t>
      </w:r>
      <w:r>
        <w:t xml:space="preserve">with the two-tier storage that backs deterministic regeneration —</w:t>
      </w:r>
      <w:r>
        <w:t xml:space="preserve"> </w:t>
      </w:r>
      <w:r>
        <w:t xml:space="preserve">adapter-signed events flow through countersignature and hash-chain</w:t>
      </w:r>
      <w:r>
        <w:t xml:space="preserve"> </w:t>
      </w:r>
      <w:r>
        <w:t xml:space="preserve">anchoring into Active (≤ 90 days) and Archive (3–7 year) storage tiers,</w:t>
      </w:r>
      <w:r>
        <w:t xml:space="preserve"> </w:t>
      </w:r>
      <w:r>
        <w:t xml:space="preserve">both readable by the Correlation Engine that serves diff and re-run</w:t>
      </w:r>
      <w:r>
        <w:t xml:space="preserve"> </w:t>
      </w:r>
      <w:r>
        <w:t xml:space="preserve">queries:</w:t>
      </w:r>
    </w:p>
    <w:p>
      <w:pPr>
        <w:pStyle w:val="CaptionedFigure"/>
      </w:pPr>
      <w:r>
        <w:drawing>
          <wp:inline>
            <wp:extent cx="5334000" cy="1952809"/>
            <wp:effectExtent b="0" l="0" r="0" t="0"/>
            <wp:docPr descr="The write side (stages 3–4): countersigned, hash-chained events in two storage tiers." title="" id="25" name="Picture"/>
            <a:graphic>
              <a:graphicData uri="http://schemas.openxmlformats.org/drawingml/2006/picture">
                <pic:pic>
                  <pic:nvPicPr>
                    <pic:cNvPr descr="../images/diagrams/architecture/svg/evidence-chain-write-side.svg" id="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52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write side (stages 3–4): countersigned, hash-chained events in two storage tiers.</w:t>
      </w:r>
    </w:p>
    <w:bookmarkEnd w:id="27"/>
    <w:bookmarkStart w:id="28" w:name="what-ships-today"/>
    <w:p>
      <w:pPr>
        <w:pStyle w:val="Heading2"/>
      </w:pPr>
      <w:r>
        <w:t xml:space="preserve">What ships today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envelope schema (FMP_PP_001 v1.0)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bundle schema + lifecycle (the program decision)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OSCAL SSP / POA&amp;M / KSI / Component Def generators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Deterministic regeneration (the program decision properties)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  <w:r>
              <w:t xml:space="preserve"> </w:t>
            </w:r>
            <w:r>
              <w:t xml:space="preserve">for canon-anchored generators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Continuous event-time capture across all adapters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Cryptographic signing with agency-issued certs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DESIGN-ONLY</w:t>
            </w:r>
            <w:r>
              <w:t xml:space="preserve"> </w:t>
            </w:r>
            <w:r>
              <w:t xml:space="preserve">(envelope reserves the field)</w:t>
            </w:r>
          </w:p>
        </w:tc>
      </w:tr>
    </w:tbl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event-time capture chain is design-defined but not fully wired in</w:t>
      </w:r>
      <w:r>
        <w:rPr>
          <w:b/>
          <w:bCs/>
        </w:rPr>
        <w:t xml:space="preserve"> </w:t>
      </w:r>
      <w:r>
        <w:rPr>
          <w:b/>
          <w:bCs/>
        </w:rPr>
        <w:t xml:space="preserve">current production flow</w:t>
      </w:r>
      <w:r>
        <w:t xml:space="preserve">. The structural pieces — provenance envelope,</w:t>
      </w:r>
      <w:r>
        <w:t xml:space="preserve"> </w:t>
      </w:r>
      <w:r>
        <w:t xml:space="preserve">bundle schema, lifecycle, OSCAL emission — all ship today; end-to-end</w:t>
      </w:r>
      <w:r>
        <w:t xml:space="preserve"> </w:t>
      </w:r>
      <w:r>
        <w:t xml:space="preserve">continuous capture across every adapter is target-state.</w:t>
      </w:r>
    </w:p>
    <w:bookmarkEnd w:id="28"/>
    <w:bookmarkStart w:id="30" w:name="what-this-means-for-an-ato-package"/>
    <w:p>
      <w:pPr>
        <w:pStyle w:val="Heading2"/>
      </w:pPr>
      <w:r>
        <w:t xml:space="preserve">What this means for an ATO package</w:t>
      </w:r>
    </w:p>
    <w:p>
      <w:pPr>
        <w:pStyle w:val="FirstParagraph"/>
      </w:pPr>
      <w:r>
        <w:t xml:space="preserve">An FMP-anchored evidence bundle gives a 3PAO four properties they cannot</w:t>
      </w:r>
      <w:r>
        <w:t xml:space="preserve"> </w:t>
      </w:r>
      <w:r>
        <w:t xml:space="preserve">get from a screenshot-based evidence package: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Independent re-execution.</w:t>
      </w:r>
      <w:r>
        <w:t xml:space="preserve"> </w:t>
      </w:r>
      <w:r>
        <w:t xml:space="preserve">The bundle can be regenerated from canon</w:t>
      </w:r>
      <w:r>
        <w:t xml:space="preserve"> </w:t>
      </w:r>
      <w:r>
        <w:t xml:space="preserve">and source data without the original operator’s involvement.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Per-claim source classification.</w:t>
      </w:r>
      <w:r>
        <w:t xml:space="preserve"> </w:t>
      </w:r>
      <w:r>
        <w:t xml:space="preserve">Authoritative claims are</w:t>
      </w:r>
      <w:r>
        <w:t xml:space="preserve"> </w:t>
      </w:r>
      <w:r>
        <w:t xml:space="preserve">distinguished from derived claims at the field level, not in narrative</w:t>
      </w:r>
      <w:r>
        <w:t xml:space="preserve"> </w:t>
      </w:r>
      <w:r>
        <w:t xml:space="preserve">prose.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Tamper-evident lineage.</w:t>
      </w:r>
      <w:r>
        <w:t xml:space="preserve"> </w:t>
      </w:r>
      <w:r>
        <w:t xml:space="preserve">The hash tree binds every claim to a source</w:t>
      </w:r>
      <w:r>
        <w:t xml:space="preserve"> </w:t>
      </w:r>
      <w:r>
        <w:t xml:space="preserve">record; modification anywhere in the chain breaks the bundle hash.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Drift-coupled.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 from the</w:t>
      </w:r>
      <w:r>
        <w:t xml:space="preserve"> </w:t>
      </w:r>
      <w:hyperlink r:id="rId29">
        <w:r>
          <w:rPr>
            <w:rStyle w:val="Hyperlink"/>
          </w:rPr>
          <w:t xml:space="preserve">Drift Engine</w:t>
        </w:r>
      </w:hyperlink>
      <w:r>
        <w:t xml:space="preserve"> </w:t>
      </w:r>
      <w:r>
        <w:t xml:space="preserve">directly identifies the affected</w:t>
      </w:r>
      <w:r>
        <w:t xml:space="preserve"> </w:t>
      </w:r>
      <w:r>
        <w:t xml:space="preserve">claim(s) in the evidence bundle, so remediation is scoped, not</w:t>
      </w:r>
      <w:r>
        <w:t xml:space="preserve"> </w:t>
      </w:r>
      <w:r>
        <w:t xml:space="preserve">rebuild-the-whole-package.</w:t>
      </w:r>
    </w:p>
    <w:p>
      <w:pPr>
        <w:pStyle w:val="FirstParagraph"/>
      </w:pPr>
      <w:r>
        <w:t xml:space="preserve">This is what</w:t>
      </w:r>
      <w:r>
        <w:t xml:space="preserve"> </w:t>
      </w:r>
      <w:r>
        <w:t xml:space="preserve">“canon-anchored evidence”</w:t>
      </w:r>
      <w:r>
        <w:t xml:space="preserve"> </w:t>
      </w:r>
      <w:r>
        <w:t xml:space="preserve">means in practice — and is the</w:t>
      </w:r>
      <w:r>
        <w:t xml:space="preserve"> </w:t>
      </w:r>
      <w:r>
        <w:t xml:space="preserve">operational basis for treating FMP evidence as deterministically reviewable</w:t>
      </w:r>
      <w:r>
        <w:t xml:space="preserve"> </w:t>
      </w:r>
      <w:r>
        <w:t xml:space="preserve">rather than periodically attested.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0" Target="media/rId20.svg" /><Relationship Type="http://schemas.openxmlformats.org/officeDocument/2006/relationships/image" Id="rId16" Target="media/rId16.svg" /><Relationship Type="http://schemas.openxmlformats.org/officeDocument/2006/relationships/image" Id="rId13" Target="media/rId13.svg" /><Relationship Type="http://schemas.openxmlformats.org/officeDocument/2006/relationships/image" Id="rId24" Target="media/rId24.svg" /><Relationship Type="http://schemas.openxmlformats.org/officeDocument/2006/relationships/hyperlink" Id="rId12" Target="../executive-briefs/evidence-fabric-overview.md" TargetMode="External" /><Relationship Type="http://schemas.openxmlformats.org/officeDocument/2006/relationships/hyperlink" Id="rId29" Target="drift-engin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executive-briefs/evidence-fabric-overview.md" TargetMode="External" /><Relationship Type="http://schemas.openxmlformats.org/officeDocument/2006/relationships/hyperlink" Id="rId29" Target="drift-engin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Chain</dc:title>
  <dc:creator/>
  <cp:keywords/>
  <dcterms:created xsi:type="dcterms:W3CDTF">2026-10-19T10:09:14Z</dcterms:created>
  <dcterms:modified xsi:type="dcterms:W3CDTF">2026-10-19T10:09:14Z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docs/docs/15_ProvenanceProfile.qmd</vt:lpwstr>
  </property>
  <property fmtid="{D5CDD505-2E9C-101B-9397-08002B2CF9AE}" pid="5" name="derived-from">
    <vt:lpwstr>fmp canon</vt:lpwstr>
  </property>
  <property fmtid="{D5CDD505-2E9C-101B-9397-08002B2CF9AE}" pid="6" name="doc-type">
    <vt:lpwstr>architecture-explainer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adopted</vt:lpwstr>
  </property>
  <property fmtid="{D5CDD505-2E9C-101B-9397-08002B2CF9AE}" pid="12" name="lifecycle_review">
    <vt:lpwstr>2026-11-22</vt:lpwstr>
  </property>
  <property fmtid="{D5CDD505-2E9C-101B-9397-08002B2CF9AE}" pid="13" name="subtitle">
    <vt:lpwstr>How FMP turns telemetry into assessor-ready evidence with traceable provenance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