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X729996bbb17a8630e26bf3ae95b28ab9808afe2"/>
    <w:p>
      <w:pPr>
        <w:pStyle w:val="Heading1"/>
      </w:pPr>
      <w:r>
        <w:t xml:space="preserve">Governance Platform Coverage and Gap Doctrine</w:t>
      </w:r>
    </w:p>
    <w:p>
      <w:pPr>
        <w:pStyle w:val="FirstParagraph"/>
      </w:pPr>
      <w:r>
        <w:t xml:space="preserve">Model for determining what a governance platform covers and what remains a gap.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Not every control or process is delivered by a single platform. This document defines how to classify coverage and how to treat gaps so that residual risk is explicit.</w:t>
      </w:r>
    </w:p>
    <w:bookmarkEnd w:id="9"/>
    <w:bookmarkStart w:id="10" w:name="coverage-classification"/>
    <w:p>
      <w:pPr>
        <w:pStyle w:val="Heading2"/>
      </w:pPr>
      <w:r>
        <w:t xml:space="preserve">Coverage classification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068"/>
        <w:gridCol w:w="285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Covered</w:t>
            </w:r>
          </w:p>
        </w:tc>
        <w:tc>
          <w:tcPr/>
          <w:p>
            <w:pPr>
              <w:pStyle w:val="Compact"/>
            </w:pPr>
            <w:r>
              <w:t xml:space="preserve">The platform enforces the control and produces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The platform supports the control but evidence or enforcement is incomplete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</w:t>
            </w:r>
          </w:p>
        </w:tc>
        <w:tc>
          <w:tcPr/>
          <w:p>
            <w:pPr>
              <w:pStyle w:val="Compact"/>
            </w:pPr>
            <w:r>
              <w:t xml:space="preserve">The control is required but not delivered by the platform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 of scope</w:t>
            </w:r>
          </w:p>
        </w:tc>
        <w:tc>
          <w:tcPr/>
          <w:p>
            <w:pPr>
              <w:pStyle w:val="Compact"/>
            </w:pPr>
            <w:r>
              <w:t xml:space="preserve">The control is not required for this boundary or workload</w:t>
            </w:r>
          </w:p>
        </w:tc>
      </w:tr>
    </w:tbl>
    <w:bookmarkEnd w:id="10"/>
    <w:bookmarkStart w:id="11" w:name="gap-treatment"/>
    <w:p>
      <w:pPr>
        <w:pStyle w:val="Heading2"/>
      </w:pPr>
      <w:r>
        <w:t xml:space="preserve">Gap treatment</w:t>
      </w:r>
    </w:p>
    <w:p>
      <w:pPr>
        <w:pStyle w:val="Compact"/>
        <w:numPr>
          <w:ilvl w:val="0"/>
          <w:numId w:val="1001"/>
        </w:numPr>
      </w:pPr>
      <w:r>
        <w:t xml:space="preserve">Record the gap in the Gap Closure Register.</w:t>
      </w:r>
    </w:p>
    <w:p>
      <w:pPr>
        <w:pStyle w:val="Compact"/>
        <w:numPr>
          <w:ilvl w:val="0"/>
          <w:numId w:val="1001"/>
        </w:numPr>
      </w:pPr>
      <w:r>
        <w:t xml:space="preserve">Assign an owner and a residual risk rating.</w:t>
      </w:r>
    </w:p>
    <w:p>
      <w:pPr>
        <w:pStyle w:val="Compact"/>
        <w:numPr>
          <w:ilvl w:val="0"/>
          <w:numId w:val="1001"/>
        </w:numPr>
      </w:pPr>
      <w:r>
        <w:t xml:space="preserve">Decide: close by configuration, close by compensating control, or accept with approval.</w:t>
      </w:r>
    </w:p>
    <w:p>
      <w:pPr>
        <w:pStyle w:val="Compact"/>
        <w:numPr>
          <w:ilvl w:val="0"/>
          <w:numId w:val="1001"/>
        </w:numPr>
      </w:pPr>
      <w:r>
        <w:t xml:space="preserve">Define the evidence that will prove the decision was executed.</w:t>
      </w:r>
    </w:p>
    <w:p>
      <w:pPr>
        <w:pStyle w:val="Compact"/>
        <w:numPr>
          <w:ilvl w:val="0"/>
          <w:numId w:val="1001"/>
        </w:numPr>
      </w:pPr>
      <w:r>
        <w:t xml:space="preserve">Review on the continuous monitoring cadence.</w:t>
      </w:r>
    </w:p>
    <w:bookmarkEnd w:id="11"/>
    <w:bookmarkStart w:id="12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Coverage is not binary. Explicit classification and gap treatment prevent silent residual risk.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2026-10-19T10:09:14Z</dcterms:created>
  <dcterms:modified xsi:type="dcterms:W3CDTF">2026-10-19T10:09:14Z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