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4" w:name="gpo-to-cloud-governance-gaps"/>
    <w:p>
      <w:pPr>
        <w:pStyle w:val="Heading1"/>
      </w:pPr>
      <w:r>
        <w:t xml:space="preserve">GPO-to-Cloud Governance Gaps</w:t>
      </w:r>
    </w:p>
    <w:p>
      <w:pPr>
        <w:pStyle w:val="FirstParagraph"/>
      </w:pPr>
      <w:r>
        <w:t xml:space="preserve">What enterprises lose in control and governance when Group Policy moves to Intune and Entra ID.</w:t>
      </w:r>
    </w:p>
    <w:bookmarkStart w:id="9" w:name="why-this-matters"/>
    <w:p>
      <w:pPr>
        <w:pStyle w:val="Heading2"/>
      </w:pPr>
      <w:r>
        <w:t xml:space="preserve">Why this matters</w:t>
      </w:r>
    </w:p>
    <w:p>
      <w:pPr>
        <w:pStyle w:val="FirstParagraph"/>
      </w:pPr>
      <w:r>
        <w:t xml:space="preserve">Most large organizations understand the benefits of moving from Group Policy to Intune and Entra ID: cloud scale, remote device management, modern security baselines, and less on-premises infrastructure. Far fewer internalize the governance and control trade-offs until they are deep in the migration or already living with the post-migration operating model.</w:t>
      </w:r>
    </w:p>
    <w:p>
      <w:pPr>
        <w:pStyle w:val="BodyText"/>
      </w:pPr>
      <w:r>
        <w:t xml:space="preserve">This document names the capabilities that are commonly lost or significantly weakened in the GPO-to-cloud shift.</w:t>
      </w:r>
    </w:p>
    <w:bookmarkEnd w:id="9"/>
    <w:bookmarkStart w:id="10" w:name="the-short-answer"/>
    <w:p>
      <w:pPr>
        <w:pStyle w:val="Heading2"/>
      </w:pPr>
      <w:r>
        <w:t xml:space="preserve">The short answer</w:t>
      </w:r>
    </w:p>
    <w:p>
      <w:pPr>
        <w:pStyle w:val="FirstParagraph"/>
      </w:pPr>
      <w:r>
        <w:t xml:space="preserve">Partially, at best. The benefits of Intune and Entra ID are well advertised. The governance cost is not. It tends to surface unevenly, and usually after the targeting model has already changed.</w:t>
      </w:r>
    </w:p>
    <w:p>
      <w:pPr>
        <w:pStyle w:val="BodyText"/>
      </w:pPr>
      <w:r>
        <w:t xml:space="preserve">The net effect is a shift from hierarchical, structure-driven governance (OU tree + GPO links + inheritance) to attribute-driven, intent-based governance (dynamic groups, assignment filters, Settings Catalog). That shift is more flexible on paper and much harder to govern consistently at scale without a strong canonical model underneath it.</w:t>
      </w:r>
    </w:p>
    <w:bookmarkEnd w:id="10"/>
    <w:bookmarkStart w:id="11" w:name="what-is-lost"/>
    <w:p>
      <w:pPr>
        <w:pStyle w:val="Heading2"/>
      </w:pPr>
      <w:r>
        <w:t xml:space="preserve">What is lost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36"/>
        <w:gridCol w:w="1408"/>
        <w:gridCol w:w="3432"/>
        <w:gridCol w:w="11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Governance capability</w:t>
            </w:r>
          </w:p>
        </w:tc>
        <w:tc>
          <w:tcPr/>
          <w:p>
            <w:pPr>
              <w:pStyle w:val="Compact"/>
            </w:pPr>
            <w:r>
              <w:t xml:space="preserve">GPO / OU model</w:t>
            </w:r>
          </w:p>
        </w:tc>
        <w:tc>
          <w:tcPr/>
          <w:p>
            <w:pPr>
              <w:pStyle w:val="Compact"/>
            </w:pPr>
            <w:r>
              <w:t xml:space="preserve">Cloud model</w:t>
            </w:r>
          </w:p>
        </w:tc>
        <w:tc>
          <w:tcPr/>
          <w:p>
            <w:pPr>
              <w:pStyle w:val="Compact"/>
            </w:pPr>
            <w:r>
              <w:t xml:space="preserve">Consequence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Deterministic targeting</w:t>
            </w:r>
          </w:p>
        </w:tc>
        <w:tc>
          <w:tcPr/>
          <w:p>
            <w:pPr>
              <w:pStyle w:val="Compact"/>
            </w:pPr>
            <w:r>
              <w:t xml:space="preserve">OU + GPO link + inheritance</w:t>
            </w:r>
          </w:p>
        </w:tc>
        <w:tc>
          <w:tcPr/>
          <w:p>
            <w:pPr>
              <w:pStyle w:val="Compact"/>
            </w:pPr>
            <w:r>
              <w:t xml:space="preserve">Dynamic group or filter</w:t>
            </w:r>
          </w:p>
        </w:tc>
        <w:tc>
          <w:tcPr/>
          <w:p>
            <w:pPr>
              <w:pStyle w:val="Compact"/>
            </w:pPr>
            <w:r>
              <w:t xml:space="preserve">“Why does this device have this policy?” becomes hard to answer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Single source of truth for applicability</w:t>
            </w:r>
          </w:p>
        </w:tc>
        <w:tc>
          <w:tcPr/>
          <w:p>
            <w:pPr>
              <w:pStyle w:val="Compact"/>
            </w:pPr>
            <w:r>
              <w:t xml:space="preserve">OU membership</w:t>
            </w:r>
          </w:p>
        </w:tc>
        <w:tc>
          <w:tcPr/>
          <w:p>
            <w:pPr>
              <w:pStyle w:val="Compact"/>
            </w:pPr>
            <w:r>
              <w:t xml:space="preserve">Multiple group and filter rules</w:t>
            </w:r>
          </w:p>
        </w:tc>
        <w:tc>
          <w:tcPr/>
          <w:p>
            <w:pPr>
              <w:pStyle w:val="Compact"/>
            </w:pPr>
            <w:r>
              <w:t xml:space="preserve">Policy rationale fragments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Drift detection</w:t>
            </w:r>
          </w:p>
        </w:tc>
        <w:tc>
          <w:tcPr/>
          <w:p>
            <w:pPr>
              <w:pStyle w:val="Compact"/>
            </w:pPr>
            <w:r>
              <w:t xml:space="preserve">GPO refresh and RSOP</w:t>
            </w:r>
          </w:p>
        </w:tc>
        <w:tc>
          <w:tcPr/>
          <w:p>
            <w:pPr>
              <w:pStyle w:val="Compact"/>
            </w:pPr>
            <w:r>
              <w:t xml:space="preserve">No native continuous comparison</w:t>
            </w:r>
          </w:p>
        </w:tc>
        <w:tc>
          <w:tcPr/>
          <w:p>
            <w:pPr>
              <w:pStyle w:val="Compact"/>
            </w:pPr>
            <w:r>
              <w:t xml:space="preserve">Configuration drift accumulates silently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Delegation with audit</w:t>
            </w:r>
          </w:p>
        </w:tc>
        <w:tc>
          <w:tcPr/>
          <w:p>
            <w:pPr>
              <w:pStyle w:val="Compact"/>
            </w:pPr>
            <w:r>
              <w:t xml:space="preserve">OU ACLs and GPO ownership</w:t>
            </w:r>
          </w:p>
        </w:tc>
        <w:tc>
          <w:tcPr/>
          <w:p>
            <w:pPr>
              <w:pStyle w:val="Compact"/>
            </w:pPr>
            <w:r>
              <w:t xml:space="preserve">Role assignments and group ownership</w:t>
            </w:r>
          </w:p>
        </w:tc>
        <w:tc>
          <w:tcPr/>
          <w:p>
            <w:pPr>
              <w:pStyle w:val="Compact"/>
            </w:pPr>
            <w:r>
              <w:t xml:space="preserve">Change attribution weakens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Legacy setting triage</w:t>
            </w:r>
          </w:p>
        </w:tc>
        <w:tc>
          <w:tcPr/>
          <w:p>
            <w:pPr>
              <w:pStyle w:val="Compact"/>
            </w:pPr>
            <w:r>
              <w:t xml:space="preserve">GPO setting inventory</w:t>
            </w:r>
          </w:p>
        </w:tc>
        <w:tc>
          <w:tcPr/>
          <w:p>
            <w:pPr>
              <w:pStyle w:val="Compact"/>
            </w:pPr>
            <w:r>
              <w:t xml:space="preserve">Manual or tool-assisted mapping</w:t>
            </w:r>
          </w:p>
        </w:tc>
        <w:tc>
          <w:tcPr/>
          <w:p>
            <w:pPr>
              <w:pStyle w:val="Compact"/>
            </w:pPr>
            <w:r>
              <w:t xml:space="preserve">High-risk settings can be missed or copied literally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Portability</w:t>
            </w:r>
          </w:p>
        </w:tc>
        <w:tc>
          <w:tcPr/>
          <w:p>
            <w:pPr>
              <w:pStyle w:val="Compact"/>
            </w:pPr>
            <w:r>
              <w:t xml:space="preserve">On-premises structure</w:t>
            </w:r>
          </w:p>
        </w:tc>
        <w:tc>
          <w:tcPr/>
          <w:p>
            <w:pPr>
              <w:pStyle w:val="Compact"/>
            </w:pPr>
            <w:r>
              <w:t xml:space="preserve">Cloud-specific groups and filters</w:t>
            </w:r>
          </w:p>
        </w:tc>
        <w:tc>
          <w:tcPr/>
          <w:p>
            <w:pPr>
              <w:pStyle w:val="Compact"/>
            </w:pPr>
            <w:r>
              <w:t xml:space="preserve">Governance does not travel with the workload</w:t>
            </w:r>
          </w:p>
        </w:tc>
      </w:tr>
    </w:tbl>
    <w:bookmarkEnd w:id="11"/>
    <w:bookmarkStart w:id="12" w:name="how-the-migration-actually-progresses"/>
    <w:p>
      <w:pPr>
        <w:pStyle w:val="Heading2"/>
      </w:pPr>
      <w:r>
        <w:t xml:space="preserve">How the migration actually progresses</w:t>
      </w:r>
    </w:p>
    <w:p>
      <w:pPr>
        <w:pStyle w:val="FirstParagraph"/>
      </w:pPr>
      <w:r>
        <w:t xml:space="preserve">In large and regulated environments the move is rarely a clean lift-and-shift. It is a multi-year transformation that changes the fundamental nature of policy governance from hierarchical and on-premises to dynamic and cloud-native. Many organizations discover that they need additional governance architecture — not just more licenses or a basic IGA tool — to avoid losing critical control and visibility.</w:t>
      </w:r>
    </w:p>
    <w:bookmarkEnd w:id="12"/>
    <w:bookmarkStart w:id="13" w:name="bottom-line"/>
    <w:p>
      <w:pPr>
        <w:pStyle w:val="Heading2"/>
      </w:pPr>
      <w:r>
        <w:t xml:space="preserve">Bottom line</w:t>
      </w:r>
    </w:p>
    <w:p>
      <w:pPr>
        <w:pStyle w:val="FirstParagraph"/>
      </w:pPr>
      <w:r>
        <w:t xml:space="preserve">Large organizations are not uniformly aware of the full governance and control implications until they are deep in migration or already post-migration. The migration is progressing, but it is rarely a clean lift-and-shift.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2026-10-19T10:09:14Z</dcterms:created>
  <dcterms:modified xsi:type="dcterms:W3CDTF">2026-10-19T10:09:14Z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