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Architecture Series</w:t>
      </w:r>
    </w:p>
    <w:p>
      <w:pPr>
        <w:pStyle w:val="Subtitle"/>
      </w:pPr>
      <w:r>
        <w:t xml:space="preserve">Conceptual explainers for the FMP governance model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architecture-series"/>
    <w:p>
      <w:pPr>
        <w:pStyle w:val="Heading1"/>
      </w:pPr>
      <w:r>
        <w:t xml:space="preserve">Architecture Series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full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architecture-series-bundle.docx</w:t>
              </w:r>
            </w:hyperlink>
            <w:r>
              <w:t xml:space="preserve"> </w:t>
            </w:r>
            <w:r>
              <w:t xml:space="preserve">— every page in this section concatenated into one Word document. Regenerated on every site deploy.</w:t>
            </w:r>
          </w:p>
          <w:p/>
        </w:tc>
      </w:tr>
    </w:tbl>
    <w:p>
      <w:pPr>
        <w:pStyle w:val="BodyText"/>
      </w:pPr>
      <w:r>
        <w:t xml:space="preserve">Published architecture narratives under the pseudonymous byline per docs</w:t>
      </w:r>
      <w:r>
        <w:t xml:space="preserve"> </w:t>
      </w:r>
      <w:r>
        <w:t xml:space="preserve">governance. Each explainer targets 2–4 pages of readable prose and one or</w:t>
      </w:r>
      <w:r>
        <w:t xml:space="preserve"> </w:t>
      </w:r>
      <w:r>
        <w:t xml:space="preserve">two canonical diagrams. The series is the bridge between the Executive</w:t>
      </w:r>
      <w:r>
        <w:t xml:space="preserve"> </w:t>
      </w:r>
      <w:r>
        <w:t xml:space="preserve">Briefs and the deeper technical specifications.</w:t>
      </w:r>
    </w:p>
    <w:bookmarkStart w:id="13" w:name="pages-in-this-section"/>
    <w:p>
      <w:pPr>
        <w:pStyle w:val="Heading2"/>
      </w:pPr>
      <w:r>
        <w:t xml:space="preserve">Pages in this section</w:t>
      </w:r>
    </w:p>
    <w:p>
      <w:pPr>
        <w:pStyle w:val="FirstParagraph"/>
      </w:pPr>
      <w:r>
        <w:t xml:space="preserve">Status badges follow the Whitepapers status conventions.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Slug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Canon anchor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six-plane-architecture</w:t>
            </w:r>
          </w:p>
        </w:tc>
        <w:tc>
          <w:tcPr/>
          <w:p>
            <w:pPr>
              <w:pStyle w:val="Compact"/>
            </w:pPr>
            <w:r>
              <w:t xml:space="preserve">The six-plane FMP reference model</w:t>
            </w:r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docs/docs/01_UnifiedArchitecture.qmd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three-layer-rule-model</w:t>
            </w:r>
          </w:p>
        </w:tc>
        <w:tc>
          <w:tcPr/>
          <w:p>
            <w:pPr>
              <w:pStyle w:val="Compact"/>
            </w:pPr>
            <w:r>
              <w:t xml:space="preserve">Rule layering: canon, policy, runtime</w:t>
            </w:r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src/fmp/rules/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boundary-impact-model</w:t>
            </w:r>
          </w:p>
        </w:tc>
        <w:tc>
          <w:tcPr/>
          <w:p>
            <w:pPr>
              <w:pStyle w:val="Compact"/>
            </w:pPr>
            <w:r>
              <w:t xml:space="preserve">Authorization boundary and impact scoring</w:t>
            </w:r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docs/docs/gcc-boundary-solution-architecture.qmd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drift-engine</w:t>
            </w:r>
          </w:p>
        </w:tc>
        <w:tc>
          <w:tcPr/>
          <w:p>
            <w:pPr>
              <w:pStyle w:val="Compact"/>
            </w:pPr>
            <w:r>
              <w:t xml:space="preserve">How drift is detected and remediated</w:t>
            </w:r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docs/docs/16_DriftDetectionStandard.qmd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evidence-chain</w:t>
            </w:r>
          </w:p>
        </w:tc>
        <w:tc>
          <w:tcPr/>
          <w:p>
            <w:pPr>
              <w:pStyle w:val="Compact"/>
            </w:pPr>
            <w:r>
              <w:t xml:space="preserve">Certificate-anchored evidence propagation</w:t>
            </w:r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docs/docs/15_ProvenanceProfile.qmd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../../downloads/architecture-series-bundle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../downloads/architecture-series-bundle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Architecture Series</dc:title>
  <dc:creator/>
  <cp:keywords/>
  <dcterms:created xsi:type="dcterms:W3CDTF">2026-10-19T10:09:15Z</dcterms:created>
  <dcterms:modified xsi:type="dcterms:W3CDTF">2026-10-19T10:09:15Z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Enterprise architects · technical leads · assessors</vt:lpwstr>
  </property>
  <property fmtid="{D5CDD505-2E9C-101B-9397-08002B2CF9AE}" pid="4" name="biblio-config">
    <vt:lpwstr>True</vt:lpwstr>
  </property>
  <property fmtid="{D5CDD505-2E9C-101B-9397-08002B2CF9AE}" pid="5" name="canon-source">
    <vt:lpwstr>docs/docs/01_UnifiedArchitecture.qmd</vt:lpwstr>
  </property>
  <property fmtid="{D5CDD505-2E9C-101B-9397-08002B2CF9AE}" pid="6" name="derived-from">
    <vt:lpwstr>fmp canon</vt:lpwstr>
  </property>
  <property fmtid="{D5CDD505-2E9C-101B-9397-08002B2CF9AE}" pid="7" name="doc-type">
    <vt:lpwstr>section-landing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lifecycle">
    <vt:lpwstr>adopted</vt:lpwstr>
  </property>
  <property fmtid="{D5CDD505-2E9C-101B-9397-08002B2CF9AE}" pid="13" name="lifecycle_review">
    <vt:lpwstr>2026-11-22</vt:lpwstr>
  </property>
  <property fmtid="{D5CDD505-2E9C-101B-9397-08002B2CF9AE}" pid="14" name="subtitle">
    <vt:lpwstr>Conceptual explainers for the FMP governance model</vt:lpwstr>
  </property>
  <property fmtid="{D5CDD505-2E9C-101B-9397-08002B2CF9AE}" pid="15" name="tiers_adopted">
    <vt:lpwstr/>
  </property>
  <property fmtid="{D5CDD505-2E9C-101B-9397-08002B2CF9AE}" pid="16" name="toc-title">
    <vt:lpwstr>Table of contents</vt:lpwstr>
  </property>
</Properties>
</file>