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4" w:name="intune-first-asset-onboarding"/>
    <w:p>
      <w:pPr>
        <w:pStyle w:val="Heading1"/>
      </w:pPr>
      <w:r>
        <w:t xml:space="preserve">Intune-First Asset Onboarding</w:t>
      </w:r>
    </w:p>
    <w:p>
      <w:pPr>
        <w:pStyle w:val="FirstParagraph"/>
      </w:pPr>
      <w:r>
        <w:t xml:space="preserve">Net-new devices enter governance from day zero.</w:t>
      </w:r>
    </w:p>
    <w:bookmarkStart w:id="9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Devices procured after the modernization decision should receive their governance attributes and management enrollment at the earliest practical moment — ideally before a user signs in. This document describes a five-phase process that stamps governance intent at procurement time and carries it through enrollment.</w:t>
      </w:r>
    </w:p>
    <w:bookmarkEnd w:id="9"/>
    <w:bookmarkStart w:id="10" w:name="priority-order-for-attribute-assignment"/>
    <w:p>
      <w:pPr>
        <w:pStyle w:val="Heading2"/>
      </w:pPr>
      <w:r>
        <w:t xml:space="preserve">Priority order for attribute assignment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Procurement record</w:t>
      </w:r>
      <w:r>
        <w:t xml:space="preserve"> </w:t>
      </w:r>
      <w:r>
        <w:t xml:space="preserve">— The organization decided to buy the asset for a specific purpose and location.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Vendor or program carrier</w:t>
      </w:r>
      <w:r>
        <w:t xml:space="preserve"> </w:t>
      </w:r>
      <w:r>
        <w:t xml:space="preserve">— The supplier or enrollment program carries the intended attributes.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User derivation</w:t>
      </w:r>
      <w:r>
        <w:t xml:space="preserve"> </w:t>
      </w:r>
      <w:r>
        <w:t xml:space="preserve">— Fallback when no procurement record exists (for example, BYOD or historical inventory).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Unpositioned</w:t>
      </w:r>
      <w:r>
        <w:t xml:space="preserve"> </w:t>
      </w:r>
      <w:r>
        <w:t xml:space="preserve">— Explicit marker when no source can supply a value. No enrolled device should carry an empty governance attribute.</w:t>
      </w:r>
    </w:p>
    <w:p>
      <w:pPr>
        <w:pStyle w:val="FirstParagraph"/>
      </w:pPr>
      <w:r>
        <w:t xml:space="preserve">Procurement-first ordering provides determinism (the attribute reflects the purchase decision, not the technician who powered the device on), auditability (chain of custody from purchase order to production), and pre-user-logon coverage (shared and self-deploying devices are stamped correctly with no user present).</w:t>
      </w:r>
    </w:p>
    <w:bookmarkEnd w:id="10"/>
    <w:bookmarkStart w:id="11" w:name="five-phases"/>
    <w:p>
      <w:pPr>
        <w:pStyle w:val="Heading2"/>
      </w:pPr>
      <w:r>
        <w:t xml:space="preserve">Five phases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309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Phase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Outcome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— Procure</w:t>
            </w:r>
          </w:p>
        </w:tc>
        <w:tc>
          <w:tcPr/>
          <w:p>
            <w:pPr>
              <w:pStyle w:val="Compact"/>
            </w:pPr>
            <w:r>
              <w:t xml:space="preserve">Procurement / asset management</w:t>
            </w:r>
          </w:p>
        </w:tc>
        <w:tc>
          <w:tcPr/>
          <w:p>
            <w:pPr>
              <w:pStyle w:val="Compact"/>
            </w:pPr>
            <w:r>
              <w:t xml:space="preserve">Asset record created with intended governance attributes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— Carrier</w:t>
            </w:r>
          </w:p>
        </w:tc>
        <w:tc>
          <w:tcPr/>
          <w:p>
            <w:pPr>
              <w:pStyle w:val="Compact"/>
            </w:pPr>
            <w:r>
              <w:t xml:space="preserve">Vendor or enrollment program</w:t>
            </w:r>
          </w:p>
        </w:tc>
        <w:tc>
          <w:tcPr/>
          <w:p>
            <w:pPr>
              <w:pStyle w:val="Compact"/>
            </w:pPr>
            <w:r>
              <w:t xml:space="preserve">Attributes available to the enrollment process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— Validate</w:t>
            </w:r>
          </w:p>
        </w:tc>
        <w:tc>
          <w:tcPr/>
          <w:p>
            <w:pPr>
              <w:pStyle w:val="Compact"/>
            </w:pPr>
            <w:r>
              <w:t xml:space="preserve">Governance / identity</w:t>
            </w:r>
          </w:p>
        </w:tc>
        <w:tc>
          <w:tcPr/>
          <w:p>
            <w:pPr>
              <w:pStyle w:val="Compact"/>
            </w:pPr>
            <w:r>
              <w:t xml:space="preserve">Attributes checked against the canonical model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4 — Enroll</w:t>
            </w:r>
          </w:p>
        </w:tc>
        <w:tc>
          <w:tcPr/>
          <w:p>
            <w:pPr>
              <w:pStyle w:val="Compact"/>
            </w:pPr>
            <w:r>
              <w:t xml:space="preserve">Endpoint management</w:t>
            </w:r>
          </w:p>
        </w:tc>
        <w:tc>
          <w:tcPr/>
          <w:p>
            <w:pPr>
              <w:pStyle w:val="Compact"/>
            </w:pPr>
            <w:r>
              <w:t xml:space="preserve">Device enrolled in Intune with attributes stamped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 — Verify</w:t>
            </w:r>
          </w:p>
        </w:tc>
        <w:tc>
          <w:tcPr/>
          <w:p>
            <w:pPr>
              <w:pStyle w:val="Compact"/>
            </w:pPr>
            <w:r>
              <w:t xml:space="preserve">Operations</w:t>
            </w:r>
          </w:p>
        </w:tc>
        <w:tc>
          <w:tcPr/>
          <w:p>
            <w:pPr>
              <w:pStyle w:val="Compact"/>
            </w:pPr>
            <w:r>
              <w:t xml:space="preserve">Device appears in the correct dynamic groups and policies; residual risk recorded if any</w:t>
            </w:r>
          </w:p>
        </w:tc>
      </w:tr>
    </w:tbl>
    <w:bookmarkEnd w:id="11"/>
    <w:bookmarkStart w:id="12" w:name="devices-without-a-procurement-record"/>
    <w:p>
      <w:pPr>
        <w:pStyle w:val="Heading2"/>
      </w:pPr>
      <w:r>
        <w:t xml:space="preserve">Devices without a procurement record</w:t>
      </w:r>
    </w:p>
    <w:p>
      <w:pPr>
        <w:pStyle w:val="FirstParagraph"/>
      </w:pPr>
      <w:r>
        <w:t xml:space="preserve">Devices that pre-date the process or arrive outside normal procurement fall through to user derivation or the unpositioned marker. These surface as findings for governance review — either by retroactively filing a record, reclassifying the asset, or quarantining it for disposition.</w:t>
      </w:r>
    </w:p>
    <w:bookmarkEnd w:id="12"/>
    <w:bookmarkStart w:id="13" w:name="bottom-line"/>
    <w:p>
      <w:pPr>
        <w:pStyle w:val="Heading2"/>
      </w:pPr>
      <w:r>
        <w:t xml:space="preserve">Bottom line</w:t>
      </w:r>
    </w:p>
    <w:p>
      <w:pPr>
        <w:pStyle w:val="FirstParagraph"/>
      </w:pPr>
      <w:r>
        <w:t xml:space="preserve">Every enrolled device carries a governance attribute, even if that attribute is an explicit “unpositioned” marker. That invariant keeps dynamic group membership and drift detection deterministic from day zero.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2026-10-19T10:09:15Z</dcterms:created>
  <dcterms:modified xsi:type="dcterms:W3CDTF">2026-10-19T10:09:15Z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