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single-source-of-truth-ssot"/>
    <w:p>
      <w:pPr>
        <w:pStyle w:val="Heading1"/>
      </w:pPr>
      <w:r>
        <w:t xml:space="preserve">Single Source of Truth (SSOT)</w:t>
      </w:r>
    </w:p>
    <w:p>
      <w:pPr>
        <w:pStyle w:val="FirstParagraph"/>
      </w:pPr>
      <w:r>
        <w:rPr>
          <w:b/>
          <w:bCs/>
        </w:rPr>
        <w:t xml:space="preserve">The authoritative origin for every identity, addressing, enforcement, telemetry, and governance claim</w:t>
      </w:r>
    </w:p>
    <w:p>
      <w:pPr>
        <w:pStyle w:val="BodyText"/>
      </w:pPr>
      <w:r>
        <w:t xml:space="preserve">The single source of truth is the authoritative origin for every identity, addressing, enforcement, telemetry, and governance object handled by the modernization framework. All other representations are</w:t>
      </w:r>
      <w:r>
        <w:t xml:space="preserve"> </w:t>
      </w:r>
      <w:r>
        <w:rPr>
          <w:b/>
          <w:bCs/>
        </w:rPr>
        <w:t xml:space="preserve">provenance-anchored pointers</w:t>
      </w:r>
      <w:r>
        <w:t xml:space="preserve">, not copies.</w:t>
      </w:r>
    </w:p>
    <w:p>
      <w:pPr>
        <w:pStyle w:val="BodyText"/>
      </w:pPr>
      <w:r>
        <w:t xml:space="preserve">It is the foundation of governed operations, the root of the provenance chain, and the baseline against which every drift class is evaluated.</w:t>
      </w:r>
    </w:p>
    <w:bookmarkStart w:id="9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document defines what the single source of truth</w:t>
      </w:r>
      <w:r>
        <w:t xml:space="preserve"> </w:t>
      </w:r>
      <w:r>
        <w:rPr>
          <w:b/>
          <w:bCs/>
        </w:rPr>
        <w:t xml:space="preserve">is</w:t>
      </w:r>
      <w:r>
        <w:t xml:space="preserve">, where it</w:t>
      </w:r>
      <w:r>
        <w:t xml:space="preserve"> </w:t>
      </w:r>
      <w:r>
        <w:rPr>
          <w:b/>
          <w:bCs/>
        </w:rPr>
        <w:t xml:space="preserve">lives</w:t>
      </w:r>
      <w:r>
        <w:t xml:space="preserve">, and how runtime systems are allowed to</w:t>
      </w:r>
      <w:r>
        <w:t xml:space="preserve"> </w:t>
      </w:r>
      <w:r>
        <w:rPr>
          <w:b/>
          <w:bCs/>
        </w:rPr>
        <w:t xml:space="preserve">consume</w:t>
      </w:r>
      <w:r>
        <w:t xml:space="preserve"> </w:t>
      </w:r>
      <w:r>
        <w:t xml:space="preserve">it. It does not enumerate every artifact — that inventory lives in the project’s document registry.</w:t>
      </w:r>
    </w:p>
    <w:bookmarkEnd w:id="9"/>
    <w:bookmarkStart w:id="10" w:name="topology"/>
    <w:p>
      <w:pPr>
        <w:pStyle w:val="Heading2"/>
      </w:pPr>
      <w:r>
        <w:t xml:space="preserve">Topology</w:t>
      </w:r>
    </w:p>
    <w:p>
      <w:pPr>
        <w:pStyle w:val="FirstParagraph"/>
      </w:pPr>
      <w:r>
        <w:t xml:space="preserve">The authoritative layout places governance artifacts in a version-controlled repository: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752"/>
        <w:gridCol w:w="316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Role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Governance documents</w:t>
            </w:r>
          </w:p>
        </w:tc>
        <w:tc>
          <w:tcPr/>
          <w:p>
            <w:pPr>
              <w:pStyle w:val="Compact"/>
            </w:pPr>
            <w:r>
              <w:t xml:space="preserve">Single source of truth — policies, plans,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Schemas</w:t>
            </w:r>
          </w:p>
        </w:tc>
        <w:tc>
          <w:tcPr/>
          <w:p>
            <w:pPr>
              <w:pStyle w:val="Compact"/>
            </w:pPr>
            <w:r>
              <w:t xml:space="preserve">Schema authority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Rules</w:t>
            </w:r>
          </w:p>
        </w:tc>
        <w:tc>
          <w:tcPr/>
          <w:p>
            <w:pPr>
              <w:pStyle w:val="Compact"/>
            </w:pPr>
            <w:r>
              <w:t xml:space="preserve">Consumer rules and validation logic</w:t>
            </w:r>
          </w:p>
        </w:tc>
      </w:tr>
    </w:tbl>
    <w:p>
      <w:pPr>
        <w:pStyle w:val="BodyText"/>
      </w:pPr>
      <w:r>
        <w:t xml:space="preserve">The repository is the single source of truth. Runtime systems read from it; they do not write to it except through a governed change process.</w:t>
      </w:r>
    </w:p>
    <w:bookmarkEnd w:id="10"/>
    <w:bookmarkStart w:id="11" w:name="consumer-rule"/>
    <w:p>
      <w:pPr>
        <w:pStyle w:val="Heading2"/>
      </w:pPr>
      <w:r>
        <w:t xml:space="preserve">Consumer rule</w:t>
      </w:r>
    </w:p>
    <w:p>
      <w:pPr>
        <w:pStyle w:val="FirstParagraph"/>
      </w:pPr>
      <w:r>
        <w:t xml:space="preserve">Runtime code</w:t>
      </w:r>
      <w:r>
        <w:t xml:space="preserve"> </w:t>
      </w:r>
      <w:r>
        <w:rPr>
          <w:b/>
          <w:bCs/>
        </w:rPr>
        <w:t xml:space="preserve">must</w:t>
      </w:r>
      <w:r>
        <w:t xml:space="preserve"> </w:t>
      </w:r>
      <w:r>
        <w:t xml:space="preserve">resolve governance artifacts through a stable, package-relative mechanism. This guarantees:</w:t>
      </w:r>
    </w:p>
    <w:p>
      <w:pPr>
        <w:pStyle w:val="Compact"/>
        <w:numPr>
          <w:ilvl w:val="0"/>
          <w:numId w:val="1001"/>
        </w:numPr>
      </w:pPr>
      <w:r>
        <w:t xml:space="preserve">Artifacts are addressable from any working directory inside the installed system.</w:t>
      </w:r>
    </w:p>
    <w:p>
      <w:pPr>
        <w:pStyle w:val="Compact"/>
        <w:numPr>
          <w:ilvl w:val="0"/>
          <w:numId w:val="1001"/>
        </w:numPr>
      </w:pPr>
      <w:r>
        <w:t xml:space="preserve">Artifacts survive installation and deployment.</w:t>
      </w:r>
    </w:p>
    <w:p>
      <w:pPr>
        <w:pStyle w:val="Compact"/>
        <w:numPr>
          <w:ilvl w:val="0"/>
          <w:numId w:val="1001"/>
        </w:numPr>
      </w:pPr>
      <w:r>
        <w:t xml:space="preserve">Artifacts are</w:t>
      </w:r>
      <w:r>
        <w:t xml:space="preserve"> </w:t>
      </w:r>
      <w:r>
        <w:rPr>
          <w:b/>
          <w:bCs/>
        </w:rPr>
        <w:t xml:space="preserve">read-only at runtime</w:t>
      </w:r>
      <w:r>
        <w:t xml:space="preserve"> </w:t>
      </w:r>
      <w:r>
        <w:t xml:space="preserve">— the only writers are the governed change process (reviewed pull request) and explicitly designated tooling.</w:t>
      </w:r>
    </w:p>
    <w:p>
      <w:pPr>
        <w:pStyle w:val="FirstParagraph"/>
      </w:pPr>
      <w:r>
        <w:t xml:space="preserve">Hardcoded absolute paths and sibling-checkout fallbacks are forbidden outside test fixtures.</w:t>
      </w:r>
    </w:p>
    <w:bookmarkEnd w:id="11"/>
    <w:bookmarkStart w:id="12" w:name="provenance-chain"/>
    <w:p>
      <w:pPr>
        <w:pStyle w:val="Heading2"/>
      </w:pPr>
      <w:r>
        <w:t xml:space="preserve">Provenance chain</w:t>
      </w:r>
    </w:p>
    <w:p>
      <w:pPr>
        <w:pStyle w:val="FirstParagraph"/>
      </w:pPr>
      <w:r>
        <w:t xml:space="preserve">Every artifact the system produces cites the governance document and version it was derived from:</w:t>
      </w:r>
    </w:p>
    <w:p>
      <w:pPr>
        <w:pStyle w:val="Compact"/>
        <w:numPr>
          <w:ilvl w:val="0"/>
          <w:numId w:val="1002"/>
        </w:numPr>
      </w:pPr>
      <w:r>
        <w:t xml:space="preserve">Derived artifacts (reports, exports, evidence packets) carry a</w:t>
      </w:r>
      <w:r>
        <w:t xml:space="preserve"> </w:t>
      </w:r>
      <w:r>
        <w:rPr>
          <w:rStyle w:val="VerbatimChar"/>
        </w:rPr>
        <w:t xml:space="preserve">provenance</w:t>
      </w:r>
      <w:r>
        <w:t xml:space="preserve"> </w:t>
      </w:r>
      <w:r>
        <w:t xml:space="preserve">block with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derived_at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derived_by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Documents classified as derived require provenance; documents classified as authoritative origins do not derive from anything and are leaves of the chain.</w:t>
      </w:r>
    </w:p>
    <w:p>
      <w:pPr>
        <w:pStyle w:val="Compact"/>
        <w:numPr>
          <w:ilvl w:val="0"/>
          <w:numId w:val="1002"/>
        </w:numPr>
      </w:pPr>
      <w:r>
        <w:t xml:space="preserve">Cryptographic anchoring uses a content hash over the claim content.</w:t>
      </w:r>
    </w:p>
    <w:bookmarkEnd w:id="12"/>
    <w:bookmarkStart w:id="13" w:name="drift-baseline"/>
    <w:p>
      <w:pPr>
        <w:pStyle w:val="Heading2"/>
      </w:pPr>
      <w:r>
        <w:t xml:space="preserve">Drift baseline</w:t>
      </w:r>
    </w:p>
    <w:p>
      <w:pPr>
        <w:pStyle w:val="FirstParagraph"/>
      </w:pPr>
      <w:r>
        <w:t xml:space="preserve">Drift is evaluated against the single source of truth: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Class</w:t>
            </w:r>
          </w:p>
        </w:tc>
        <w:tc>
          <w:tcPr/>
          <w:p>
            <w:pPr>
              <w:pStyle w:val="Compact"/>
            </w:pPr>
            <w:r>
              <w:t xml:space="preserve">Means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Schema drift</w:t>
            </w:r>
          </w:p>
        </w:tc>
        <w:tc>
          <w:tcPr/>
          <w:p>
            <w:pPr>
              <w:pStyle w:val="Compact"/>
            </w:pPr>
            <w:r>
              <w:t xml:space="preserve">Declared structure or registry-cited document does not exist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Semantic drift</w:t>
            </w:r>
          </w:p>
        </w:tc>
        <w:tc>
          <w:tcPr/>
          <w:p>
            <w:pPr>
              <w:pStyle w:val="Compact"/>
            </w:pPr>
            <w:r>
              <w:t xml:space="preserve">Content changed in a way that weakens a policy invariant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Provenance drift</w:t>
            </w:r>
          </w:p>
        </w:tc>
        <w:tc>
          <w:tcPr/>
          <w:p>
            <w:pPr>
              <w:pStyle w:val="Compact"/>
            </w:pPr>
            <w:r>
              <w:t xml:space="preserve">A document cites a path that does not resolve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Authorization drift</w:t>
            </w:r>
          </w:p>
        </w:tc>
        <w:tc>
          <w:tcPr/>
          <w:p>
            <w:pPr>
              <w:pStyle w:val="Compact"/>
            </w:pPr>
            <w:r>
              <w:t xml:space="preserve">Role assignments, delegation scopes, or privilege claims diverge from the authoritative 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Identity drift</w:t>
            </w:r>
          </w:p>
        </w:tc>
        <w:tc>
          <w:tcPr/>
          <w:p>
            <w:pPr>
              <w:pStyle w:val="Compact"/>
            </w:pPr>
            <w:r>
              <w:t xml:space="preserve">Identity objects cannot be reconciled to the authoritative organizational attributes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Single-source-of-truth contention</w:t>
            </w:r>
          </w:p>
        </w:tc>
        <w:tc>
          <w:tcPr/>
          <w:p>
            <w:pPr>
              <w:pStyle w:val="Compact"/>
            </w:pPr>
            <w:r>
              <w:t xml:space="preserve">A write is directed at a demoted instance after the single-source-of-truth roster has been ratified</w:t>
            </w:r>
          </w:p>
        </w:tc>
      </w:tr>
    </w:tbl>
    <w:p>
      <w:pPr>
        <w:pStyle w:val="BodyText"/>
      </w:pPr>
      <w:r>
        <w:t xml:space="preserve">Severities range from critical to low. A continuous-integration gate fires on any critical finding against the authoritative content.</w:t>
      </w:r>
    </w:p>
    <w:bookmarkEnd w:id="13"/>
    <w:bookmarkStart w:id="14" w:name="change-process"/>
    <w:p>
      <w:pPr>
        <w:pStyle w:val="Heading2"/>
      </w:pPr>
      <w:r>
        <w:t xml:space="preserve">Change process</w:t>
      </w:r>
    </w:p>
    <w:p>
      <w:pPr>
        <w:pStyle w:val="FirstParagraph"/>
      </w:pPr>
      <w:r>
        <w:t xml:space="preserve">Every modification to the authoritative repository must:</w:t>
      </w:r>
    </w:p>
    <w:p>
      <w:pPr>
        <w:pStyle w:val="Compact"/>
        <w:numPr>
          <w:ilvl w:val="0"/>
          <w:numId w:val="1003"/>
        </w:numPr>
      </w:pPr>
      <w:r>
        <w:t xml:space="preserve">Update the document registry.</w:t>
      </w:r>
    </w:p>
    <w:p>
      <w:pPr>
        <w:pStyle w:val="Compact"/>
        <w:numPr>
          <w:ilvl w:val="0"/>
          <w:numId w:val="1003"/>
        </w:numPr>
      </w:pPr>
      <w:r>
        <w:t xml:space="preserve">For doctrinal changes (supersession, retirement, scope shift), add a reviewed decision record.</w:t>
      </w:r>
    </w:p>
    <w:p>
      <w:pPr>
        <w:pStyle w:val="Compact"/>
        <w:numPr>
          <w:ilvl w:val="0"/>
          <w:numId w:val="1003"/>
        </w:numPr>
      </w:pPr>
      <w:r>
        <w:t xml:space="preserve">Pass governance review before merge.</w:t>
      </w:r>
    </w:p>
    <w:p>
      <w:pPr>
        <w:pStyle w:val="FirstParagraph"/>
      </w:pPr>
      <w:r>
        <w:t xml:space="preserve">Direct commits without a reviewed decision record are a governance drift signal.</w:t>
      </w:r>
    </w:p>
    <w:bookmarkEnd w:id="14"/>
    <w:bookmarkStart w:id="15" w:name="why-it-matters"/>
    <w:p>
      <w:pPr>
        <w:pStyle w:val="Heading2"/>
      </w:pPr>
      <w:r>
        <w:t xml:space="preserve">Why it matters</w:t>
      </w:r>
    </w:p>
    <w:p>
      <w:pPr>
        <w:pStyle w:val="FirstParagraph"/>
      </w:pPr>
      <w:r>
        <w:t xml:space="preserve">Without a single source of truth, every system holds a slightly different copy of the same claim. Over time those copies diverge, and no one can say which is authoritative. With a single source of truth, every other system holds a pointer that can be validated, refreshed, or retired. Drift becomes detectable. Provenance becomes reconstructible. Auditors can ask “what was the authoritative value on this date?” and receive a machine-readable answer.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2026-10-19T10:09:15Z</dcterms:created>
  <dcterms:modified xsi:type="dcterms:W3CDTF">2026-10-19T10:09:15Z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