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Three-Layer Rule Model</w:t>
      </w:r>
    </w:p>
    <w:p>
      <w:pPr>
        <w:pStyle w:val="Subtitle"/>
      </w:pPr>
      <w:r>
        <w:t xml:space="preserve">How FMP separates canon, policy, and runtime rule layers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three-layer-rule-model"/>
    <w:p>
      <w:pPr>
        <w:pStyle w:val="Heading1"/>
      </w:pPr>
      <w:r>
        <w:t xml:space="preserve">Three-Layer Rule Model</w:t>
      </w:r>
    </w:p>
    <w:p>
      <w:pPr>
        <w:pStyle w:val="CaptionedFigure"/>
      </w:pPr>
      <w:r>
        <w:drawing>
          <wp:inline>
            <wp:extent cx="5334000" cy="5334000"/>
            <wp:effectExtent b="0" l="0" r="0" t="0"/>
            <wp:docPr descr="Illustration: the canon, policy and runtime layers as a stack." title="" id="10" name="Picture"/>
            <a:graphic>
              <a:graphicData uri="http://schemas.openxmlformats.org/drawingml/2006/picture">
                <pic:pic>
                  <pic:nvPicPr>
                    <pic:cNvPr descr="../images/architecture/three-layer-rule-model-image-01-three-layer-rule-model-stack-di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Illustration: the canon, policy and runtime layers as a stack.</w:t>
      </w:r>
    </w:p>
    <w:p>
      <w:pPr>
        <w:pStyle w:val="BodyText"/>
      </w:pPr>
      <w:r>
        <w:t xml:space="preserve">FMP separates rule authoring into</w:t>
      </w:r>
      <w:r>
        <w:t xml:space="preserve"> </w:t>
      </w:r>
      <w:r>
        <w:rPr>
          <w:b/>
          <w:bCs/>
        </w:rPr>
        <w:t xml:space="preserve">three distinct layers</w:t>
      </w:r>
      <w:r>
        <w:t xml:space="preserve"> </w:t>
      </w:r>
      <w:r>
        <w:t xml:space="preserve">so that policy</w:t>
      </w:r>
      <w:r>
        <w:t xml:space="preserve"> </w:t>
      </w:r>
      <w:r>
        <w:t xml:space="preserve">intent, evaluation logic, and runtime enforcement can be reasoned about,</w:t>
      </w:r>
      <w:r>
        <w:t xml:space="preserve"> </w:t>
      </w:r>
      <w:r>
        <w:t xml:space="preserve">versioned, and drift-detected independently. Mixing them — the typical</w:t>
      </w:r>
      <w:r>
        <w:t xml:space="preserve"> </w:t>
      </w:r>
      <w:r>
        <w:t xml:space="preserve">“policy-as-config”</w:t>
      </w:r>
      <w:r>
        <w:t xml:space="preserve"> </w:t>
      </w:r>
      <w:r>
        <w:t xml:space="preserve">failure mode — collapses three different change</w:t>
      </w:r>
      <w:r>
        <w:t xml:space="preserve"> </w:t>
      </w:r>
      <w:r>
        <w:t xml:space="preserve">boundaries into one and loses the ability to assess each layer for its own</w:t>
      </w:r>
      <w:r>
        <w:t xml:space="preserve"> </w:t>
      </w:r>
      <w:r>
        <w:t xml:space="preserve">risk profile.</w:t>
      </w:r>
    </w:p>
    <w:p>
      <w:pPr>
        <w:pStyle w:val="CaptionedFigure"/>
      </w:pPr>
      <w:r>
        <w:drawing>
          <wp:inline>
            <wp:extent cx="4895850" cy="3381375"/>
            <wp:effectExtent b="0" l="0" r="0" t="0"/>
            <wp:docPr descr="Canon, policy and runtime: each layer has its own change boundary, and the lower layers are read-only to the runtime." title="" id="13" name="Picture"/>
            <a:graphic>
              <a:graphicData uri="http://schemas.openxmlformats.org/drawingml/2006/picture">
                <pic:pic>
                  <pic:nvPicPr>
                    <pic:cNvPr descr="../images/diagrams/architecture/svg/three-layer-rule-model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Canon, policy and runtime: each layer has its own change boundary, and the lower layers are read-only to the runtime.</w:t>
      </w:r>
    </w:p>
    <w:bookmarkStart w:id="15" w:name="the-three-layers"/>
    <w:p>
      <w:pPr>
        <w:pStyle w:val="Heading2"/>
      </w:pPr>
      <w:r>
        <w:t xml:space="preserve">The three layers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Lives in</w:t>
            </w:r>
          </w:p>
        </w:tc>
        <w:tc>
          <w:tcPr/>
          <w:p>
            <w:pPr>
              <w:pStyle w:val="Compact"/>
            </w:pPr>
            <w:r>
              <w:t xml:space="preserve">Authoritative for</w:t>
            </w:r>
          </w:p>
        </w:tc>
        <w:tc>
          <w:tcPr/>
          <w:p>
            <w:pPr>
              <w:pStyle w:val="Compact"/>
            </w:pPr>
            <w:r>
              <w:t xml:space="preserve">Change boundary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Canon (rule layer)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src/fmp/rules/</w:t>
            </w:r>
          </w:p>
        </w:tc>
        <w:tc>
          <w:tcPr/>
          <w:p>
            <w:pPr>
              <w:pStyle w:val="Compact"/>
            </w:pPr>
            <w:r>
              <w:t xml:space="preserve">What rules exist and what they mean</w:t>
            </w:r>
          </w:p>
        </w:tc>
        <w:tc>
          <w:tcPr/>
          <w:p>
            <w:pPr>
              <w:pStyle w:val="Compact"/>
            </w:pPr>
            <w:r>
              <w:t xml:space="preserve">Canon-change ADR + governance review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Policy (mapping layer)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src/fmp/canon/&lt;adapter&gt;-registry.yaml</w:t>
            </w:r>
            <w:r>
              <w:t xml:space="preserve">, KSI mappings</w:t>
            </w:r>
          </w:p>
        </w:tc>
        <w:tc>
          <w:tcPr/>
          <w:p>
            <w:pPr>
              <w:pStyle w:val="Compact"/>
            </w:pPr>
            <w:r>
              <w:t xml:space="preserve">Which rules apply to which controls / scopes</w:t>
            </w:r>
          </w:p>
        </w:tc>
        <w:tc>
          <w:tcPr/>
          <w:p>
            <w:pPr>
              <w:pStyle w:val="Compact"/>
            </w:pPr>
            <w:r>
              <w:t xml:space="preserve">Adapter PR + schema validation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Runtime (enforcement layer)</w:t>
            </w:r>
          </w:p>
        </w:tc>
        <w:tc>
          <w:tcPr/>
          <w:p>
            <w:pPr>
              <w:pStyle w:val="Compact"/>
            </w:pPr>
            <w:r>
              <w:t xml:space="preserve">Adapter code under</w:t>
            </w:r>
            <w:r>
              <w:t xml:space="preserve"> </w:t>
            </w:r>
            <w:r>
              <w:rPr>
                <w:rStyle w:val="VerbatimChar"/>
              </w:rPr>
              <w:t xml:space="preserve">src/fmp/adapters/</w:t>
            </w:r>
            <w:r>
              <w:t xml:space="preserve"> </w:t>
            </w:r>
            <w:r>
              <w:t xml:space="preserve">and enforcement runtime under</w:t>
            </w:r>
            <w:r>
              <w:t xml:space="preserve"> </w:t>
            </w:r>
            <w:r>
              <w:rPr>
                <w:rStyle w:val="VerbatimChar"/>
              </w:rPr>
              <w:t xml:space="preserve">src/fmp/enforcement/</w:t>
            </w:r>
          </w:p>
        </w:tc>
        <w:tc>
          <w:tcPr/>
          <w:p>
            <w:pPr>
              <w:pStyle w:val="Compact"/>
            </w:pPr>
            <w:r>
              <w:t xml:space="preserve">How rules are evaluated against live state</w:t>
            </w:r>
          </w:p>
        </w:tc>
        <w:tc>
          <w:tcPr/>
          <w:p>
            <w:pPr>
              <w:pStyle w:val="Compact"/>
            </w:pPr>
            <w:r>
              <w:t xml:space="preserve">Code PR + tests</w:t>
            </w:r>
          </w:p>
        </w:tc>
      </w:tr>
    </w:tbl>
    <w:p>
      <w:pPr>
        <w:pStyle w:val="BodyText"/>
      </w:pPr>
      <w:r>
        <w:t xml:space="preserve">Each layer has its own change cadence, its own review surface, and its own</w:t>
      </w:r>
      <w:r>
        <w:t xml:space="preserve"> </w:t>
      </w:r>
      <w:r>
        <w:t xml:space="preserve">drift class. This is the architectural reason FMP’s drift engine can</w:t>
      </w:r>
      <w:r>
        <w:t xml:space="preserve"> </w:t>
      </w:r>
      <w:r>
        <w:t xml:space="preserve">distinguish a</w:t>
      </w:r>
      <w:r>
        <w:t xml:space="preserve"> </w:t>
      </w:r>
      <w:r>
        <w:rPr>
          <w:i/>
          <w:iCs/>
        </w:rPr>
        <w:t xml:space="preserve">meaning</w:t>
      </w:r>
      <w:r>
        <w:t xml:space="preserve"> </w:t>
      </w:r>
      <w:r>
        <w:t xml:space="preserve">drift (canon layer changed unexpectedly) from a</w:t>
      </w:r>
      <w:r>
        <w:t xml:space="preserve"> </w:t>
      </w:r>
      <w:r>
        <w:rPr>
          <w:i/>
          <w:iCs/>
        </w:rPr>
        <w:t xml:space="preserve">mapping</w:t>
      </w:r>
      <w:r>
        <w:t xml:space="preserve"> </w:t>
      </w:r>
      <w:r>
        <w:t xml:space="preserve">drift (policy points at a retired rule) from an</w:t>
      </w:r>
      <w:r>
        <w:t xml:space="preserve"> </w:t>
      </w:r>
      <w:r>
        <w:rPr>
          <w:i/>
          <w:iCs/>
        </w:rPr>
        <w:t xml:space="preserve">enforcement</w:t>
      </w:r>
      <w:r>
        <w:t xml:space="preserve"> </w:t>
      </w:r>
      <w:r>
        <w:t xml:space="preserve">drift (runtime code disagrees with canon).</w:t>
      </w:r>
    </w:p>
    <w:bookmarkEnd w:id="15"/>
    <w:bookmarkStart w:id="16" w:name="layer-1-canon"/>
    <w:p>
      <w:pPr>
        <w:pStyle w:val="Heading2"/>
      </w:pPr>
      <w:r>
        <w:t xml:space="preserve">Layer 1 — Canon</w:t>
      </w:r>
    </w:p>
    <w:p>
      <w:pPr>
        <w:pStyle w:val="FirstParagraph"/>
      </w:pPr>
      <w:r>
        <w:t xml:space="preserve">The canon layer is the</w:t>
      </w:r>
      <w:r>
        <w:t xml:space="preserve"> </w:t>
      </w:r>
      <w:r>
        <w:rPr>
          <w:b/>
          <w:bCs/>
        </w:rPr>
        <w:t xml:space="preserve">single source of truth</w:t>
      </w:r>
      <w:r>
        <w:t xml:space="preserve"> </w:t>
      </w:r>
      <w:r>
        <w:t xml:space="preserve">for rule existence and</w:t>
      </w:r>
      <w:r>
        <w:t xml:space="preserve"> </w:t>
      </w:r>
      <w:r>
        <w:t xml:space="preserve">semantics. It lives under</w:t>
      </w:r>
      <w:r>
        <w:t xml:space="preserve"> </w:t>
      </w:r>
      <w:r>
        <w:rPr>
          <w:rStyle w:val="VerbatimChar"/>
        </w:rPr>
        <w:t xml:space="preserve">src/fmp/rules/</w:t>
      </w:r>
      <w:r>
        <w:t xml:space="preserve"> </w:t>
      </w:r>
      <w:r>
        <w:t xml:space="preserve">and is shipped as package data</w:t>
      </w:r>
      <w:r>
        <w:t xml:space="preserve"> </w:t>
      </w:r>
      <w:r>
        <w:t xml:space="preserve">inside the installable</w:t>
      </w:r>
      <w:r>
        <w:t xml:space="preserve"> </w:t>
      </w:r>
      <w:r>
        <w:rPr>
          <w:rStyle w:val="VerbatimChar"/>
        </w:rPr>
        <w:t xml:space="preserve">fmp</w:t>
      </w:r>
      <w:r>
        <w:t xml:space="preserve"> </w:t>
      </w:r>
      <w:r>
        <w:t xml:space="preserve">distribution. Canon is read at runtime via</w:t>
      </w:r>
      <w:r>
        <w:t xml:space="preserve"> </w:t>
      </w:r>
      <w:r>
        <w:rPr>
          <w:rStyle w:val="VerbatimChar"/>
        </w:rPr>
        <w:t xml:space="preserve">importlib.resources</w:t>
      </w:r>
      <w:r>
        <w:t xml:space="preserve"> </w:t>
      </w:r>
      <w:r>
        <w:t xml:space="preserve">per the</w:t>
      </w:r>
      <w:r>
        <w:t xml:space="preserve"> </w:t>
      </w:r>
      <w:r>
        <w:t xml:space="preserve">Canon Consumer rule — never</w:t>
      </w:r>
      <w:r>
        <w:t xml:space="preserve"> </w:t>
      </w:r>
      <w:r>
        <w:t xml:space="preserve">from filesystem paths, never written to.</w:t>
      </w:r>
    </w:p>
    <w:p>
      <w:pPr>
        <w:pStyle w:val="BodyText"/>
      </w:pPr>
      <w:r>
        <w:t xml:space="preserve">A canon rule declares: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Rule identifier</w:t>
      </w:r>
      <w:r>
        <w:t xml:space="preserve"> </w:t>
      </w:r>
      <w:r>
        <w:t xml:space="preserve">(stable, versioned).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Semantic statement</w:t>
      </w:r>
      <w:r>
        <w:t xml:space="preserve"> </w:t>
      </w:r>
      <w:r>
        <w:t xml:space="preserve">in human-readable form.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Schema constraints</w:t>
      </w:r>
      <w:r>
        <w:t xml:space="preserve"> </w:t>
      </w:r>
      <w:r>
        <w:t xml:space="preserve">that any concrete instance must satisfy.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Provenance</w:t>
      </w:r>
      <w:r>
        <w:t xml:space="preserve"> </w:t>
      </w:r>
      <w:r>
        <w:t xml:space="preserve">— the canon document and ADR that authored it.</w:t>
      </w:r>
    </w:p>
    <w:p>
      <w:pPr>
        <w:pStyle w:val="FirstParagraph"/>
      </w:pPr>
      <w:r>
        <w:t xml:space="preserve">What canon does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declare: which adapters apply it, which controls it</w:t>
      </w:r>
      <w:r>
        <w:t xml:space="preserve"> </w:t>
      </w:r>
      <w:r>
        <w:t xml:space="preserve">maps to, or how it is enforced at runtime. Those belong to layers 2 and 3.</w:t>
      </w:r>
    </w:p>
    <w:bookmarkEnd w:id="16"/>
    <w:bookmarkStart w:id="17" w:name="layer-2-policy"/>
    <w:p>
      <w:pPr>
        <w:pStyle w:val="Heading2"/>
      </w:pPr>
      <w:r>
        <w:t xml:space="preserve">Layer 2 — Policy</w:t>
      </w:r>
    </w:p>
    <w:p>
      <w:pPr>
        <w:pStyle w:val="FirstParagraph"/>
      </w:pPr>
      <w:r>
        <w:t xml:space="preserve">The policy layer is the</w:t>
      </w:r>
      <w:r>
        <w:t xml:space="preserve"> </w:t>
      </w:r>
      <w:r>
        <w:rPr>
          <w:b/>
          <w:bCs/>
        </w:rPr>
        <w:t xml:space="preserve">mapping</w:t>
      </w:r>
      <w:r>
        <w:t xml:space="preserve"> </w:t>
      </w:r>
      <w:r>
        <w:t xml:space="preserve">between canon rules and operational</w:t>
      </w:r>
      <w:r>
        <w:t xml:space="preserve"> </w:t>
      </w:r>
      <w:r>
        <w:t xml:space="preserve">scope. It lives in canon-adjacent registries: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adapter-registry.yaml</w:t>
      </w:r>
      <w:r>
        <w:t xml:space="preserve"> </w:t>
      </w:r>
      <w:r>
        <w:t xml:space="preserve">— conformance adapter mappings.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modernization-registry.yaml</w:t>
      </w:r>
      <w:r>
        <w:t xml:space="preserve"> </w:t>
      </w:r>
      <w:r>
        <w:t xml:space="preserve">— modernization adapter mappings.</w:t>
      </w:r>
    </w:p>
    <w:p>
      <w:pPr>
        <w:pStyle w:val="Compact"/>
        <w:numPr>
          <w:ilvl w:val="0"/>
          <w:numId w:val="1002"/>
        </w:numPr>
      </w:pPr>
      <w:r>
        <w:t xml:space="preserve">KSI mapping files under</w:t>
      </w:r>
      <w:r>
        <w:t xml:space="preserve"> </w:t>
      </w:r>
      <w:r>
        <w:rPr>
          <w:rStyle w:val="VerbatimChar"/>
        </w:rPr>
        <w:t xml:space="preserve">src/fmp/rules/ksi/</w:t>
      </w:r>
      <w:r>
        <w:t xml:space="preserve"> </w:t>
      </w:r>
      <w:r>
        <w:t xml:space="preserve">— Key Security Indicator</w:t>
      </w:r>
      <w:r>
        <w:t xml:space="preserve"> </w:t>
      </w:r>
      <w:r>
        <w:t xml:space="preserve">to canon-rule bindings.</w:t>
      </w:r>
    </w:p>
    <w:p>
      <w:pPr>
        <w:pStyle w:val="FirstParagraph"/>
      </w:pPr>
      <w:r>
        <w:t xml:space="preserve">A policy entry says:</w:t>
      </w:r>
      <w:r>
        <w:t xml:space="preserve"> </w:t>
      </w:r>
      <w:r>
        <w:rPr>
          <w:i/>
          <w:iCs/>
        </w:rPr>
        <w:t xml:space="preserve">“Adapter X (or KSI Y) applies canon rule R within</w:t>
      </w:r>
      <w:r>
        <w:rPr>
          <w:i/>
          <w:iCs/>
        </w:rPr>
        <w:t xml:space="preserve"> </w:t>
      </w:r>
      <w:r>
        <w:rPr>
          <w:i/>
          <w:iCs/>
        </w:rPr>
        <w:t xml:space="preserve">scope S.”</w:t>
      </w:r>
      <w:r>
        <w:t xml:space="preserve"> </w:t>
      </w:r>
      <w:r>
        <w:t xml:space="preserve">Schema validation in</w:t>
      </w:r>
      <w:r>
        <w:t xml:space="preserve"> </w:t>
      </w:r>
      <w:r>
        <w:rPr>
          <w:rStyle w:val="VerbatimChar"/>
        </w:rPr>
        <w:t xml:space="preserve">schema-validation.yml</w:t>
      </w:r>
      <w:r>
        <w:t xml:space="preserve"> </w:t>
      </w:r>
      <w:r>
        <w:t xml:space="preserve">enforces that every</w:t>
      </w:r>
      <w:r>
        <w:t xml:space="preserve"> </w:t>
      </w:r>
      <w:r>
        <w:t xml:space="preserve">policy entry references a canon rule that actually exists. A dangling</w:t>
      </w:r>
      <w:r>
        <w:t xml:space="preserve"> </w:t>
      </w:r>
      <w:r>
        <w:t xml:space="preserve">policy entry — referencing a retired rule, a renamed scope, or a</w:t>
      </w:r>
      <w:r>
        <w:t xml:space="preserve"> </w:t>
      </w:r>
      <w:r>
        <w:t xml:space="preserve">non-existent adapter — is a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finding, not a runtime</w:t>
      </w:r>
      <w:r>
        <w:t xml:space="preserve"> </w:t>
      </w:r>
      <w:r>
        <w:t xml:space="preserve">crash.</w:t>
      </w:r>
    </w:p>
    <w:p>
      <w:pPr>
        <w:pStyle w:val="BodyText"/>
      </w:pPr>
      <w:r>
        <w:t xml:space="preserve">Policy changes are higher-cadence than canon changes: an adapter author can</w:t>
      </w:r>
      <w:r>
        <w:t xml:space="preserve"> </w:t>
      </w:r>
      <w:r>
        <w:t xml:space="preserve">add or retire a mapping in a normal PR without invoking the canon-change</w:t>
      </w:r>
      <w:r>
        <w:t xml:space="preserve"> </w:t>
      </w:r>
      <w:r>
        <w:t xml:space="preserve">process. The schema gates ensure mappings stay consistent.</w:t>
      </w:r>
    </w:p>
    <w:bookmarkEnd w:id="17"/>
    <w:bookmarkStart w:id="19" w:name="layer-3-runtime"/>
    <w:p>
      <w:pPr>
        <w:pStyle w:val="Heading2"/>
      </w:pPr>
      <w:r>
        <w:t xml:space="preserve">Layer 3 — Runtime</w:t>
      </w:r>
    </w:p>
    <w:p>
      <w:pPr>
        <w:pStyle w:val="FirstParagraph"/>
      </w:pPr>
      <w:r>
        <w:t xml:space="preserve">The runtime layer is the</w:t>
      </w:r>
      <w:r>
        <w:t xml:space="preserve"> </w:t>
      </w:r>
      <w:r>
        <w:rPr>
          <w:b/>
          <w:bCs/>
        </w:rPr>
        <w:t xml:space="preserve">evaluation logic</w:t>
      </w:r>
      <w:r>
        <w:t xml:space="preserve"> </w:t>
      </w:r>
      <w:r>
        <w:t xml:space="preserve">that actually consumes canon</w:t>
      </w:r>
      <w:r>
        <w:t xml:space="preserve"> </w:t>
      </w:r>
      <w:r>
        <w:t xml:space="preserve">rules and policy mappings against live state. It lives in two places: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Adapter code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src/fmp/adapters/&lt;adapter&gt;/</w:t>
      </w:r>
      <w:r>
        <w:t xml:space="preserve"> </w:t>
      </w:r>
      <w:r>
        <w:t xml:space="preserve">— each adapter</w:t>
      </w:r>
      <w:r>
        <w:t xml:space="preserve"> </w:t>
      </w:r>
      <w:r>
        <w:t xml:space="preserve">implements the conformance contract for its</w:t>
      </w:r>
      <w:r>
        <w:t xml:space="preserve"> </w:t>
      </w:r>
      <w:r>
        <w:rPr>
          <w:rStyle w:val="VerbatimChar"/>
        </w:rPr>
        <w:t xml:space="preserve">mission-class</w:t>
      </w:r>
      <w:r>
        <w:t xml:space="preserve"> </w:t>
      </w:r>
      <w:r>
        <w:t xml:space="preserve">and emits</w:t>
      </w:r>
      <w:r>
        <w:t xml:space="preserve"> </w:t>
      </w:r>
      <w:r>
        <w:t xml:space="preserve">drift findings + evidence per the</w:t>
      </w:r>
      <w:r>
        <w:t xml:space="preserve"> </w:t>
      </w:r>
      <w:hyperlink r:id="rId18">
        <w:r>
          <w:rPr>
            <w:rStyle w:val="Hyperlink"/>
          </w:rPr>
          <w:t xml:space="preserve">Evidence Chain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Enforcement runtime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src/fmp/enforcement/</w:t>
      </w:r>
      <w:r>
        <w:t xml:space="preserve"> </w:t>
      </w:r>
      <w:r>
        <w:t xml:space="preserve">— library-only</w:t>
      </w:r>
      <w:r>
        <w:t xml:space="preserve"> </w:t>
      </w:r>
      <w:r>
        <w:t xml:space="preserve">today (FMP_111). Policies are Python callables; there is no CLI surface</w:t>
      </w:r>
      <w:r>
        <w:t xml:space="preserve"> </w:t>
      </w:r>
      <w:r>
        <w:t xml:space="preserve">for the enforcement runtime, by design — see</w:t>
      </w:r>
      <w:r>
        <w:t xml:space="preserve"> </w:t>
      </w:r>
      <w:r>
        <w:rPr>
          <w:rStyle w:val="VerbatimChar"/>
        </w:rPr>
        <w:t xml:space="preserve">cli-reference.qmd §4.1</w:t>
      </w:r>
      <w:r>
        <w:t xml:space="preserve">.</w:t>
      </w:r>
    </w:p>
    <w:p>
      <w:pPr>
        <w:pStyle w:val="FirstParagraph"/>
      </w:pPr>
      <w:r>
        <w:t xml:space="preserve">The runtime layer is the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layer allowed to mutate observable state.</w:t>
      </w:r>
      <w:r>
        <w:t xml:space="preserve"> </w:t>
      </w:r>
      <w:r>
        <w:t xml:space="preserve">Canon and policy are read-only at runtime; only the runtime layer can act.</w:t>
      </w:r>
    </w:p>
    <w:bookmarkEnd w:id="19"/>
    <w:bookmarkStart w:id="20" w:name="how-drift-maps-onto-the-layers"/>
    <w:p>
      <w:pPr>
        <w:pStyle w:val="Heading2"/>
      </w:pPr>
      <w:r>
        <w:t xml:space="preserve">How drift maps onto the layers</w:t>
      </w:r>
    </w:p>
    <w:p>
      <w:pPr>
        <w:pStyle w:val="FirstParagraph"/>
      </w:pPr>
      <w:r>
        <w:t xml:space="preserve">The five-class drift taxonomy aligns with the three layers in a way that</w:t>
      </w:r>
      <w:r>
        <w:t xml:space="preserve"> </w:t>
      </w:r>
      <w:r>
        <w:t xml:space="preserve">matters operationally: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Drift class</w:t>
            </w:r>
          </w:p>
        </w:tc>
        <w:tc>
          <w:tcPr/>
          <w:p>
            <w:pPr>
              <w:pStyle w:val="Compact"/>
            </w:pPr>
            <w:r>
              <w:t xml:space="preserve">Layer where the mismatch lives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</w:p>
        </w:tc>
        <w:tc>
          <w:tcPr/>
          <w:p>
            <w:pPr>
              <w:pStyle w:val="Compact"/>
            </w:pPr>
            <w:r>
              <w:t xml:space="preserve">Canon — declared schema vs. actual claim structure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DRIFT-SEMANTIC</w:t>
            </w:r>
          </w:p>
        </w:tc>
        <w:tc>
          <w:tcPr/>
          <w:p>
            <w:pPr>
              <w:pStyle w:val="Compact"/>
            </w:pPr>
            <w:r>
              <w:t xml:space="preserve">Canon ↔ Runtime — meaning has shifted between layers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t xml:space="preserve">Policy — a mapping references a rule that no longer resolves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t xml:space="preserve">Runtime — an adapter emitted outside its consent envelope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t xml:space="preserve">Runtime — issuer cannot be resolved</w:t>
            </w:r>
          </w:p>
        </w:tc>
      </w:tr>
    </w:tbl>
    <w:p>
      <w:pPr>
        <w:pStyle w:val="BodyText"/>
      </w:pPr>
      <w:r>
        <w:t xml:space="preserve">This alignment is why FMP can attribute a drift finding to a specific</w:t>
      </w:r>
      <w:r>
        <w:t xml:space="preserve"> </w:t>
      </w:r>
      <w:r>
        <w:t xml:space="preserve">review surface: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findings are policy-layer concerns,</w:t>
      </w:r>
      <w:r>
        <w:t xml:space="preserve"> </w:t>
      </w:r>
      <w:r>
        <w:t xml:space="preserve">auto-resolvable in many cases;</w:t>
      </w:r>
      <w:r>
        <w:t xml:space="preserve"> </w:t>
      </w:r>
      <w:r>
        <w:rPr>
          <w:rStyle w:val="VerbatimChar"/>
        </w:rPr>
        <w:t xml:space="preserve">DRIFT-SEMANTIC</w:t>
      </w:r>
      <w:r>
        <w:t xml:space="preserve"> </w:t>
      </w:r>
      <w:r>
        <w:t xml:space="preserve">findings cross from canon</w:t>
      </w:r>
      <w:r>
        <w:t xml:space="preserve"> </w:t>
      </w:r>
      <w:r>
        <w:t xml:space="preserve">into runtime and require both governance review and code change.</w:t>
      </w:r>
    </w:p>
    <w:bookmarkEnd w:id="20"/>
    <w:bookmarkStart w:id="21" w:name="why-three-layers-and-not-two"/>
    <w:p>
      <w:pPr>
        <w:pStyle w:val="Heading2"/>
      </w:pPr>
      <w:r>
        <w:t xml:space="preserve">Why three layers and not two</w:t>
      </w:r>
    </w:p>
    <w:p>
      <w:pPr>
        <w:pStyle w:val="FirstParagraph"/>
      </w:pPr>
      <w:r>
        <w:t xml:space="preserve">A common simplification is to fold</w:t>
      </w:r>
      <w:r>
        <w:t xml:space="preserve"> </w:t>
      </w:r>
      <w:r>
        <w:t xml:space="preserve">“policy”</w:t>
      </w:r>
      <w:r>
        <w:t xml:space="preserve"> </w:t>
      </w:r>
      <w:r>
        <w:t xml:space="preserve">into</w:t>
      </w:r>
      <w:r>
        <w:t xml:space="preserve"> </w:t>
      </w:r>
      <w:r>
        <w:t xml:space="preserve">“canon”</w:t>
      </w:r>
      <w:r>
        <w:t xml:space="preserve"> </w:t>
      </w:r>
      <w:r>
        <w:t xml:space="preserve">— declare</w:t>
      </w:r>
      <w:r>
        <w:t xml:space="preserve"> </w:t>
      </w:r>
      <w:r>
        <w:t xml:space="preserve">mappings inside the canon document itself. FMP rejects this because: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Cadence mismatch.</w:t>
      </w:r>
      <w:r>
        <w:t xml:space="preserve"> </w:t>
      </w:r>
      <w:r>
        <w:t xml:space="preserve">Canon changes require ADRs and governance review.</w:t>
      </w:r>
      <w:r>
        <w:t xml:space="preserve"> </w:t>
      </w:r>
      <w:r>
        <w:t xml:space="preserve">Mapping changes do not. Folding mappings into canon either slows mapping</w:t>
      </w:r>
      <w:r>
        <w:t xml:space="preserve"> </w:t>
      </w:r>
      <w:r>
        <w:t xml:space="preserve">work to canon cadence or weakens canon’s review discipline.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Blast radius.</w:t>
      </w:r>
      <w:r>
        <w:t xml:space="preserve"> </w:t>
      </w:r>
      <w:r>
        <w:t xml:space="preserve">A bad mapping is recoverable by a registry edit. A bad</w:t>
      </w:r>
      <w:r>
        <w:t xml:space="preserve"> </w:t>
      </w:r>
      <w:r>
        <w:t xml:space="preserve">canon edit is recoverable only through ADR supersession. Different</w:t>
      </w:r>
      <w:r>
        <w:t xml:space="preserve"> </w:t>
      </w:r>
      <w:r>
        <w:t xml:space="preserve">blast radii deserve different change boundaries.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Drift attribution.</w:t>
      </w:r>
      <w:r>
        <w:t xml:space="preserve"> </w:t>
      </w:r>
      <w:r>
        <w:t xml:space="preserve">The drift engine can tell a 3PAO whether a</w:t>
      </w:r>
      <w:r>
        <w:t xml:space="preserve"> </w:t>
      </w:r>
      <w:r>
        <w:t xml:space="preserve">finding represents a meaning shift or a mapping mistake. That</w:t>
      </w:r>
      <w:r>
        <w:t xml:space="preserve"> </w:t>
      </w:r>
      <w:r>
        <w:t xml:space="preserve">distinction is lost if both live in the same artifact.</w:t>
      </w:r>
    </w:p>
    <w:p>
      <w:pPr>
        <w:pStyle w:val="FirstParagraph"/>
      </w:pPr>
      <w:r>
        <w:t xml:space="preserve">The same logic argues against folding</w:t>
      </w:r>
      <w:r>
        <w:t xml:space="preserve"> </w:t>
      </w:r>
      <w:r>
        <w:t xml:space="preserve">“runtime”</w:t>
      </w:r>
      <w:r>
        <w:t xml:space="preserve"> </w:t>
      </w:r>
      <w:r>
        <w:t xml:space="preserve">into</w:t>
      </w:r>
      <w:r>
        <w:t xml:space="preserve"> </w:t>
      </w:r>
      <w:r>
        <w:t xml:space="preserve">“policy”</w:t>
      </w:r>
      <w:r>
        <w:t xml:space="preserve"> </w:t>
      </w:r>
      <w:r>
        <w:t xml:space="preserve">— runtime</w:t>
      </w:r>
      <w:r>
        <w:t xml:space="preserve"> </w:t>
      </w:r>
      <w:r>
        <w:t xml:space="preserve">must execute, mutate, and emit, which policy must not.</w:t>
      </w:r>
    </w:p>
    <w:bookmarkEnd w:id="21"/>
    <w:bookmarkStart w:id="22" w:name="what-this-means-for-an-ato-package"/>
    <w:p>
      <w:pPr>
        <w:pStyle w:val="Heading2"/>
      </w:pPr>
      <w:r>
        <w:t xml:space="preserve">What this means for an ATO package</w:t>
      </w:r>
    </w:p>
    <w:p>
      <w:pPr>
        <w:pStyle w:val="FirstParagraph"/>
      </w:pPr>
      <w:r>
        <w:t xml:space="preserve">Three operational properties for a 3PAO: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Per-layer evidence trails.</w:t>
      </w:r>
      <w:r>
        <w:t xml:space="preserve"> </w:t>
      </w:r>
      <w:r>
        <w:t xml:space="preserve">Canon changes carry an ADR; policy changes</w:t>
      </w:r>
      <w:r>
        <w:t xml:space="preserve"> </w:t>
      </w:r>
      <w:r>
        <w:t xml:space="preserve">carry a schema-validated registry diff; runtime changes carry tests and</w:t>
      </w:r>
      <w:r>
        <w:t xml:space="preserve"> </w:t>
      </w:r>
      <w:r>
        <w:t xml:space="preserve">remediation contracts. The package shows three distinct evidence</w:t>
      </w:r>
      <w:r>
        <w:t xml:space="preserve"> </w:t>
      </w:r>
      <w:r>
        <w:t xml:space="preserve">surfaces, not one.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Independent reviewability.</w:t>
      </w:r>
      <w:r>
        <w:t xml:space="preserve"> </w:t>
      </w:r>
      <w:r>
        <w:t xml:space="preserve">A reviewer can challenge</w:t>
      </w:r>
      <w:r>
        <w:t xml:space="preserve"> </w:t>
      </w:r>
      <w:r>
        <w:t xml:space="preserve">“is this rule’s</w:t>
      </w:r>
      <w:r>
        <w:t xml:space="preserve"> </w:t>
      </w:r>
      <w:r>
        <w:t xml:space="preserve">meaning correct?”</w:t>
      </w:r>
      <w:r>
        <w:t xml:space="preserve"> </w:t>
      </w:r>
      <w:r>
        <w:t xml:space="preserve">(canon) separately from</w:t>
      </w:r>
      <w:r>
        <w:t xml:space="preserve"> </w:t>
      </w:r>
      <w:r>
        <w:t xml:space="preserve">“is this mapping right?”</w:t>
      </w:r>
      <w:r>
        <w:t xml:space="preserve"> </w:t>
      </w:r>
      <w:r>
        <w:t xml:space="preserve">(policy) separately from</w:t>
      </w:r>
      <w:r>
        <w:t xml:space="preserve"> </w:t>
      </w:r>
      <w:r>
        <w:t xml:space="preserve">“does the code do what canon says?”</w:t>
      </w:r>
      <w:r>
        <w:t xml:space="preserve"> </w:t>
      </w:r>
      <w:r>
        <w:t xml:space="preserve">(runtime).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Targeted remediation.</w:t>
      </w:r>
      <w:r>
        <w:t xml:space="preserve"> </w:t>
      </w:r>
      <w:r>
        <w:t xml:space="preserve">When drift is found, only the affected layer is</w:t>
      </w:r>
      <w:r>
        <w:t xml:space="preserve"> </w:t>
      </w:r>
      <w:r>
        <w:t xml:space="preserve">rebuilt — canon, mapping, or code. The other two layers’ evidence</w:t>
      </w:r>
      <w:r>
        <w:t xml:space="preserve"> </w:t>
      </w:r>
      <w:r>
        <w:t xml:space="preserve">remains valid.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svg" /><Relationship Type="http://schemas.openxmlformats.org/officeDocument/2006/relationships/hyperlink" Id="rId18" Target="evidence-chai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evidence-chai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Three-Layer Rule Model</dc:title>
  <dc:creator/>
  <cp:keywords/>
  <dcterms:created xsi:type="dcterms:W3CDTF">2026-10-19T10:09:16Z</dcterms:created>
  <dcterms:modified xsi:type="dcterms:W3CDTF">2026-10-19T10:09:16Z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src/fmp/rules/</vt:lpwstr>
  </property>
  <property fmtid="{D5CDD505-2E9C-101B-9397-08002B2CF9AE}" pid="5" name="derived-from">
    <vt:lpwstr>fmp canon</vt:lpwstr>
  </property>
  <property fmtid="{D5CDD505-2E9C-101B-9397-08002B2CF9AE}" pid="6" name="doc-type">
    <vt:lpwstr>architecture-explainer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adopted</vt:lpwstr>
  </property>
  <property fmtid="{D5CDD505-2E9C-101B-9397-08002B2CF9AE}" pid="12" name="lifecycle_review">
    <vt:lpwstr>2026-11-22</vt:lpwstr>
  </property>
  <property fmtid="{D5CDD505-2E9C-101B-9397-08002B2CF9AE}" pid="13" name="subtitle">
    <vt:lpwstr>How FMP separates canon, policy, and runtime rule layers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