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 w:name="Xe4aa6c2e8cc1f13e711c1786d4b30d9f8bc05d1"/>
    <w:p>
      <w:pPr>
        <w:pStyle w:val="Heading1"/>
      </w:pPr>
      <w:r>
        <w:t xml:space="preserve">Where Data Lives — Devices and Azure Resources</w:t>
      </w:r>
    </w:p>
    <w:p>
      <w:pPr>
        <w:pStyle w:val="FirstParagraph"/>
      </w:pPr>
      <w:r>
        <w:t xml:space="preserve">Data location taxonomy for devices and Azure resources under a governed model.</w:t>
      </w:r>
    </w:p>
    <w:bookmarkStart w:id="9" w:name="purpose"/>
    <w:p>
      <w:pPr>
        <w:pStyle w:val="Heading2"/>
      </w:pPr>
      <w:r>
        <w:t xml:space="preserve">Purpose</w:t>
      </w:r>
    </w:p>
    <w:p>
      <w:pPr>
        <w:pStyle w:val="FirstParagraph"/>
      </w:pPr>
      <w:r>
        <w:t xml:space="preserve">Extends the identity data-location model to devices and Azure resources. For each object type, identify the authoritative origin, the derived pointers, and the systems that must not be treated as sources of truth.</w:t>
      </w:r>
    </w:p>
    <w:bookmarkEnd w:id="9"/>
    <w:bookmarkStart w:id="10" w:name="devices"/>
    <w:p>
      <w:pPr>
        <w:pStyle w:val="Heading2"/>
      </w:pPr>
      <w:r>
        <w:t xml:space="preserve">Devices</w:t>
      </w:r>
    </w:p>
    <w:tbl>
      <w:tblPr>
        <w:tblStyle w:val="Table"/>
        <w:tblW w:type="pct" w:w="5000"/>
        <w:tblLayout w:type="fixed"/>
        <w:tblLook w:firstRow="1" w:lastRow="0" w:firstColumn="0" w:lastColumn="0" w:noHBand="0" w:noVBand="0" w:val="0020"/>
      </w:tblPr>
      <w:tblGrid>
        <w:gridCol w:w="1205"/>
        <w:gridCol w:w="3615"/>
        <w:gridCol w:w="3099"/>
      </w:tblGrid>
      <w:tr>
        <w:trPr>
          <w:tblHeader w:val="on"/>
        </w:trPr>
        <w:tc>
          <w:tcPr/>
          <w:p>
            <w:pPr>
              <w:pStyle w:val="Compact"/>
            </w:pPr>
            <w:r>
              <w:t xml:space="preserve">Claim</w:t>
            </w:r>
          </w:p>
        </w:tc>
        <w:tc>
          <w:tcPr/>
          <w:p>
            <w:pPr>
              <w:pStyle w:val="Compact"/>
            </w:pPr>
            <w:r>
              <w:t xml:space="preserve">Authoritative origin</w:t>
            </w:r>
          </w:p>
        </w:tc>
        <w:tc>
          <w:tcPr/>
          <w:p>
            <w:pPr>
              <w:pStyle w:val="Compact"/>
            </w:pPr>
            <w:r>
              <w:t xml:space="preserve">Derived pointers</w:t>
            </w:r>
          </w:p>
        </w:tc>
      </w:tr>
      <w:tr>
        <w:tc>
          <w:tcPr/>
          <w:p>
            <w:pPr>
              <w:pStyle w:val="Compact"/>
            </w:pPr>
            <w:r>
              <w:t xml:space="preserve">Ownership / purpose</w:t>
            </w:r>
          </w:p>
        </w:tc>
        <w:tc>
          <w:tcPr/>
          <w:p>
            <w:pPr>
              <w:pStyle w:val="Compact"/>
            </w:pPr>
            <w:r>
              <w:t xml:space="preserve">Procurement or asset record</w:t>
            </w:r>
          </w:p>
        </w:tc>
        <w:tc>
          <w:tcPr/>
          <w:p>
            <w:pPr>
              <w:pStyle w:val="Compact"/>
            </w:pPr>
            <w:r>
              <w:t xml:space="preserve">Intune device category, dynamic group membership</w:t>
            </w:r>
          </w:p>
        </w:tc>
      </w:tr>
      <w:tr>
        <w:tc>
          <w:tcPr/>
          <w:p>
            <w:pPr>
              <w:pStyle w:val="Compact"/>
            </w:pPr>
            <w:r>
              <w:t xml:space="preserve">Compliance state</w:t>
            </w:r>
          </w:p>
        </w:tc>
        <w:tc>
          <w:tcPr/>
          <w:p>
            <w:pPr>
              <w:pStyle w:val="Compact"/>
            </w:pPr>
            <w:r>
              <w:t xml:space="preserve">Intune compliance policy evaluation</w:t>
            </w:r>
          </w:p>
        </w:tc>
        <w:tc>
          <w:tcPr/>
          <w:p>
            <w:pPr>
              <w:pStyle w:val="Compact"/>
            </w:pPr>
            <w:r>
              <w:t xml:space="preserve">Conditional Access signal</w:t>
            </w:r>
          </w:p>
        </w:tc>
      </w:tr>
      <w:tr>
        <w:tc>
          <w:tcPr/>
          <w:p>
            <w:pPr>
              <w:pStyle w:val="Compact"/>
            </w:pPr>
            <w:r>
              <w:t xml:space="preserve">Location / site</w:t>
            </w:r>
          </w:p>
        </w:tc>
        <w:tc>
          <w:tcPr/>
          <w:p>
            <w:pPr>
              <w:pStyle w:val="Compact"/>
            </w:pPr>
            <w:r>
              <w:t xml:space="preserve">Procurement or assignment record</w:t>
            </w:r>
          </w:p>
        </w:tc>
        <w:tc>
          <w:tcPr/>
          <w:p>
            <w:pPr>
              <w:pStyle w:val="Compact"/>
            </w:pPr>
            <w:r>
              <w:t xml:space="preserve">Named location, dynamic group</w:t>
            </w:r>
          </w:p>
        </w:tc>
      </w:tr>
      <w:tr>
        <w:tc>
          <w:tcPr/>
          <w:p>
            <w:pPr>
              <w:pStyle w:val="Compact"/>
            </w:pPr>
            <w:r>
              <w:t xml:space="preserve">Management authority</w:t>
            </w:r>
          </w:p>
        </w:tc>
        <w:tc>
          <w:tcPr/>
          <w:p>
            <w:pPr>
              <w:pStyle w:val="Compact"/>
            </w:pPr>
            <w:r>
              <w:t xml:space="preserve">Intune enrollment</w:t>
            </w:r>
          </w:p>
        </w:tc>
        <w:tc>
          <w:tcPr/>
          <w:p>
            <w:pPr>
              <w:pStyle w:val="Compact"/>
            </w:pPr>
            <w:r>
              <w:t xml:space="preserve">Azure Arc (servers)</w:t>
            </w:r>
          </w:p>
        </w:tc>
      </w:tr>
    </w:tbl>
    <w:bookmarkEnd w:id="10"/>
    <w:bookmarkStart w:id="11" w:name="azure-resources"/>
    <w:p>
      <w:pPr>
        <w:pStyle w:val="Heading2"/>
      </w:pPr>
      <w:r>
        <w:t xml:space="preserve">Azure resources</w:t>
      </w:r>
    </w:p>
    <w:tbl>
      <w:tblPr>
        <w:tblStyle w:val="Table"/>
        <w:tblW w:type="pct" w:w="5000"/>
        <w:tblLayout w:type="fixed"/>
        <w:tblLook w:firstRow="1" w:lastRow="0" w:firstColumn="0" w:lastColumn="0" w:noHBand="0" w:noVBand="0" w:val="0020"/>
      </w:tblPr>
      <w:tblGrid>
        <w:gridCol w:w="1205"/>
        <w:gridCol w:w="3615"/>
        <w:gridCol w:w="3099"/>
      </w:tblGrid>
      <w:tr>
        <w:trPr>
          <w:tblHeader w:val="on"/>
        </w:trPr>
        <w:tc>
          <w:tcPr/>
          <w:p>
            <w:pPr>
              <w:pStyle w:val="Compact"/>
            </w:pPr>
            <w:r>
              <w:t xml:space="preserve">Claim</w:t>
            </w:r>
          </w:p>
        </w:tc>
        <w:tc>
          <w:tcPr/>
          <w:p>
            <w:pPr>
              <w:pStyle w:val="Compact"/>
            </w:pPr>
            <w:r>
              <w:t xml:space="preserve">Authoritative origin</w:t>
            </w:r>
          </w:p>
        </w:tc>
        <w:tc>
          <w:tcPr/>
          <w:p>
            <w:pPr>
              <w:pStyle w:val="Compact"/>
            </w:pPr>
            <w:r>
              <w:t xml:space="preserve">Derived pointers</w:t>
            </w:r>
          </w:p>
        </w:tc>
      </w:tr>
      <w:tr>
        <w:tc>
          <w:tcPr/>
          <w:p>
            <w:pPr>
              <w:pStyle w:val="Compact"/>
            </w:pPr>
            <w:r>
              <w:t xml:space="preserve">Subscription / resource group purpose</w:t>
            </w:r>
          </w:p>
        </w:tc>
        <w:tc>
          <w:tcPr/>
          <w:p>
            <w:pPr>
              <w:pStyle w:val="Compact"/>
            </w:pPr>
            <w:r>
              <w:t xml:space="preserve">Governance assignment</w:t>
            </w:r>
          </w:p>
        </w:tc>
        <w:tc>
          <w:tcPr/>
          <w:p>
            <w:pPr>
              <w:pStyle w:val="Compact"/>
            </w:pPr>
            <w:r>
              <w:t xml:space="preserve">Tags, policy assignment</w:t>
            </w:r>
          </w:p>
        </w:tc>
      </w:tr>
      <w:tr>
        <w:tc>
          <w:tcPr/>
          <w:p>
            <w:pPr>
              <w:pStyle w:val="Compact"/>
            </w:pPr>
            <w:r>
              <w:t xml:space="preserve">Owner</w:t>
            </w:r>
          </w:p>
        </w:tc>
        <w:tc>
          <w:tcPr/>
          <w:p>
            <w:pPr>
              <w:pStyle w:val="Compact"/>
            </w:pPr>
            <w:r>
              <w:t xml:space="preserve">Governance record</w:t>
            </w:r>
          </w:p>
        </w:tc>
        <w:tc>
          <w:tcPr/>
          <w:p>
            <w:pPr>
              <w:pStyle w:val="Compact"/>
            </w:pPr>
            <w:r>
              <w:t xml:space="preserve">Tag or role assignment</w:t>
            </w:r>
          </w:p>
        </w:tc>
      </w:tr>
      <w:tr>
        <w:tc>
          <w:tcPr/>
          <w:p>
            <w:pPr>
              <w:pStyle w:val="Compact"/>
            </w:pPr>
            <w:r>
              <w:t xml:space="preserve">Environment (prod/non-prod)</w:t>
            </w:r>
          </w:p>
        </w:tc>
        <w:tc>
          <w:tcPr/>
          <w:p>
            <w:pPr>
              <w:pStyle w:val="Compact"/>
            </w:pPr>
            <w:r>
              <w:t xml:space="preserve">Governance assignment</w:t>
            </w:r>
          </w:p>
        </w:tc>
        <w:tc>
          <w:tcPr/>
          <w:p>
            <w:pPr>
              <w:pStyle w:val="Compact"/>
            </w:pPr>
            <w:r>
              <w:t xml:space="preserve">Tag, policy, Conditional Access named location</w:t>
            </w:r>
          </w:p>
        </w:tc>
      </w:tr>
      <w:tr>
        <w:tc>
          <w:tcPr/>
          <w:p>
            <w:pPr>
              <w:pStyle w:val="Compact"/>
            </w:pPr>
            <w:r>
              <w:t xml:space="preserve">Compliance scope</w:t>
            </w:r>
          </w:p>
        </w:tc>
        <w:tc>
          <w:tcPr/>
          <w:p>
            <w:pPr>
              <w:pStyle w:val="Compact"/>
            </w:pPr>
            <w:r>
              <w:t xml:space="preserve">Governance boundary</w:t>
            </w:r>
          </w:p>
        </w:tc>
        <w:tc>
          <w:tcPr/>
          <w:p>
            <w:pPr>
              <w:pStyle w:val="Compact"/>
            </w:pPr>
            <w:r>
              <w:t xml:space="preserve">Azure Policy assignment, regulatory tags</w:t>
            </w:r>
          </w:p>
        </w:tc>
      </w:tr>
    </w:tbl>
    <w:bookmarkEnd w:id="11"/>
    <w:bookmarkStart w:id="12" w:name="rule"/>
    <w:p>
      <w:pPr>
        <w:pStyle w:val="Heading2"/>
      </w:pPr>
      <w:r>
        <w:t xml:space="preserve">Rule</w:t>
      </w:r>
    </w:p>
    <w:p>
      <w:pPr>
        <w:pStyle w:val="FirstParagraph"/>
      </w:pPr>
      <w:r>
        <w:t xml:space="preserve">No device or Azure resource should carry an empty governance attribute when enrolled or created under the governed path. Derived values (tags, group membership, policy assignment) must be explainable from the authoritative origin.</w:t>
      </w:r>
    </w:p>
    <w:p>
      <w:r>
        <w:pict>
          <v:rect style="width:0;height:1.5pt" o:hralign="center" o:hrstd="t" o:hr="t"/>
        </w:pict>
      </w:r>
    </w:p>
    <w:p>
      <w:pPr>
        <w:pStyle w:val="FirstParagraph"/>
      </w:pPr>
      <w:r>
        <w:rPr>
          <w:i/>
          <w:iCs/>
        </w:rPr>
        <w:t xml:space="preserve">Cleaned extraction for project use.</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2026-10-19T10:09:16Z</dcterms:created>
  <dcterms:modified xsi:type="dcterms:W3CDTF">2026-10-19T10:09:16Z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