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6.svg" ContentType="image/svg+xml"/>
  <Override PartName="/word/media/rId76.svg" ContentType="image/svg+xml"/>
  <Override PartName="/word/media/rId16.svg" ContentType="image/svg+xml"/>
  <Override PartName="/word/media/rId9.png" ContentType="image/png"/>
  <Override PartName="/word/media/rId212.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Assessing the Forest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18" w:name="chapter-08-assessing-the-forest"/>
    <w:p>
      <w:pPr>
        <w:pStyle w:val="Heading1"/>
      </w:pPr>
      <w:r>
        <w:t xml:space="preserve">Chapter 08 — Assessing the Forest</w:t>
      </w:r>
    </w:p>
    <w:p>
      <w:pPr>
        <w:pStyle w:val="FirstParagraph"/>
      </w:pPr>
      <w:r>
        <w:rPr>
          <w:i/>
          <w:iCs/>
        </w:rPr>
        <w:t xml:space="preserve">A migration plan is only as good as the inventory under it, and the inventory is only as good as the evidence that proves when, how and by whom it was taken.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privileged half of discovery: what the full forest assessment collects, the rights it needs, and how to keep those rights narrow. It walks the eight collection areas (topology, OUs, Group Policy, DNS, AD CS, computers, users and groups, trusts), then the pipeline that turns each run into a hashed, versioned record in a Git repository, with findings raised as issues. It closes with security handling, troubleshooting, the output schema and a quick reference card. The complete module is in</w:t>
            </w:r>
            <w:r>
              <w:t xml:space="preserve"> </w:t>
            </w:r>
            <w:hyperlink r:id="rId12">
              <w:r>
                <w:rPr>
                  <w:rStyle w:val="Hyperlink"/>
                </w:rPr>
                <w:t xml:space="preserve">Appendix B</w:t>
              </w:r>
            </w:hyperlink>
            <w:r>
              <w:t xml:space="preserve">.</w:t>
            </w:r>
          </w:p>
          <w:p/>
        </w:tc>
      </w:tr>
    </w:tbl>
    <w:p>
      <w:pPr>
        <w:pStyle w:val="BodyText"/>
      </w:pPr>
      <w:hyperlink r:id="rId13">
        <w:r>
          <w:rPr>
            <w:rStyle w:val="Hyperlink"/>
          </w:rPr>
          <w:t xml:space="preserve">Chapter 07</w:t>
        </w:r>
      </w:hyperlink>
      <w:r>
        <w:t xml:space="preserve"> </w:t>
      </w:r>
      <w:r>
        <w:t xml:space="preserve">ends with a gap analysis: the list of things a read-only account couldn’t see. This chapter fills those gaps. The full assessment reads the configuration partition, ACLs on OUs, every GPO’s settings, DNS server configuration, the PKI containers and certificate authority (CA) settings, and the delegation flags on every account. Some of that needs rights beyond default read access, so the assessment is run deliberately, by a named account, on a schedule, and every run leaves the same evidence behind.</w:t>
      </w:r>
    </w:p>
    <w:p>
      <w:pPr>
        <w:pStyle w:val="BodyText"/>
      </w:pPr>
      <w:r>
        <w:t xml:space="preserve">The program’s position is that the assessment is an evidence-producing process, not a set of scripts. Each run does three things:</w:t>
      </w:r>
    </w:p>
    <w:p>
      <w:pPr>
        <w:pStyle w:val="Compact"/>
        <w:numPr>
          <w:ilvl w:val="0"/>
          <w:numId w:val="1001"/>
        </w:numPr>
      </w:pPr>
      <w:r>
        <w:t xml:space="preserve">It collects a fixed set of artifacts into a fixed directory layout, so two runs can be compared file by file.</w:t>
      </w:r>
    </w:p>
    <w:p>
      <w:pPr>
        <w:pStyle w:val="Compact"/>
        <w:numPr>
          <w:ilvl w:val="0"/>
          <w:numId w:val="1001"/>
        </w:numPr>
      </w:pPr>
      <w:r>
        <w:t xml:space="preserve">It writes a manifest with a SHA-256 hash of every file, so anyone can prove later that an artifact wasn’t changed.</w:t>
      </w:r>
    </w:p>
    <w:p>
      <w:pPr>
        <w:pStyle w:val="Compact"/>
        <w:numPr>
          <w:ilvl w:val="0"/>
          <w:numId w:val="1001"/>
        </w:numPr>
      </w:pPr>
      <w:r>
        <w:t xml:space="preserve">It commits the run to the program’s Git repository (a self-hosted Gitea instance in the reference design), so the history of the forest is the history of the repository.</w:t>
      </w:r>
    </w:p>
    <w:p>
      <w:pPr>
        <w:pStyle w:val="FirstParagraph"/>
      </w:pPr>
      <w:r>
        <w:t xml:space="preserve">The downstream planning documents in this book and its companions read those artifacts, not someone’s memory of the forest.</w:t>
      </w:r>
    </w:p>
    <w:bookmarkStart w:id="20" w:name="what-the-assessment-covers"/>
    <w:p>
      <w:pPr>
        <w:pStyle w:val="Heading2"/>
      </w:pPr>
      <w:r>
        <w:t xml:space="preserve">What the assessment covers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What is captured</w:t>
            </w:r>
          </w:p>
        </w:tc>
        <w:tc>
          <w:tcPr/>
          <w:p>
            <w:pPr>
              <w:pStyle w:val="Compact"/>
            </w:pPr>
            <w:r>
              <w:t xml:space="preserve">Main output</w:t>
            </w:r>
          </w:p>
        </w:tc>
      </w:tr>
      <w:tr>
        <w:tc>
          <w:tcPr/>
          <w:p>
            <w:pPr>
              <w:pStyle w:val="Compact"/>
            </w:pPr>
            <w:r>
              <w:t xml:space="preserve">Forest topology</w:t>
            </w:r>
          </w:p>
        </w:tc>
        <w:tc>
          <w:tcPr/>
          <w:p>
            <w:pPr>
              <w:pStyle w:val="Compact"/>
            </w:pPr>
            <w:r>
              <w:t xml:space="preserve">Domains, functional levels, sites, site links, subnets, global catalogs, the five operations master role holders</w:t>
            </w:r>
          </w:p>
        </w:tc>
        <w:tc>
          <w:tcPr/>
          <w:p>
            <w:pPr>
              <w:pStyle w:val="Compact"/>
            </w:pPr>
            <w:r>
              <w:rPr>
                <w:rStyle w:val="VerbatimChar"/>
              </w:rPr>
              <w:t xml:space="preserve">ForestTopology.json</w:t>
            </w:r>
          </w:p>
        </w:tc>
      </w:tr>
      <w:tr>
        <w:tc>
          <w:tcPr/>
          <w:p>
            <w:pPr>
              <w:pStyle w:val="Compact"/>
            </w:pPr>
            <w:r>
              <w:t xml:space="preserve">Domain controllers</w:t>
            </w:r>
          </w:p>
        </w:tc>
        <w:tc>
          <w:tcPr/>
          <w:p>
            <w:pPr>
              <w:pStyle w:val="Compact"/>
            </w:pPr>
            <w:r>
              <w:t xml:space="preserve">Host name, site, address, OS version, global catalog and read-only flags, roles held</w:t>
            </w:r>
          </w:p>
        </w:tc>
        <w:tc>
          <w:tcPr/>
          <w:p>
            <w:pPr>
              <w:pStyle w:val="Compact"/>
            </w:pPr>
            <w:r>
              <w:rPr>
                <w:rStyle w:val="VerbatimChar"/>
              </w:rPr>
              <w:t xml:space="preserve">DomainControllers.json</w:t>
            </w:r>
          </w:p>
        </w:tc>
      </w:tr>
      <w:tr>
        <w:tc>
          <w:tcPr/>
          <w:p>
            <w:pPr>
              <w:pStyle w:val="Compact"/>
            </w:pPr>
            <w:r>
              <w:t xml:space="preserve">OU hierarchy</w:t>
            </w:r>
          </w:p>
        </w:tc>
        <w:tc>
          <w:tcPr/>
          <w:p>
            <w:pPr>
              <w:pStyle w:val="Compact"/>
            </w:pPr>
            <w:r>
              <w:t xml:space="preserve">The full tree with object counts, GPO links, inheritance blocking and non-inherited ACEs</w:t>
            </w:r>
          </w:p>
        </w:tc>
        <w:tc>
          <w:tcPr/>
          <w:p>
            <w:pPr>
              <w:pStyle w:val="Compact"/>
            </w:pPr>
            <w:r>
              <w:rPr>
                <w:rStyle w:val="VerbatimChar"/>
              </w:rPr>
              <w:t xml:space="preserve">OUHierarchy.json</w:t>
            </w:r>
            <w:r>
              <w:t xml:space="preserve">,</w:t>
            </w:r>
            <w:r>
              <w:t xml:space="preserve"> </w:t>
            </w:r>
            <w:r>
              <w:rPr>
                <w:rStyle w:val="VerbatimChar"/>
              </w:rPr>
              <w:t xml:space="preserve">OUDelegations.json</w:t>
            </w:r>
          </w:p>
        </w:tc>
      </w:tr>
      <w:tr>
        <w:tc>
          <w:tcPr/>
          <w:p>
            <w:pPr>
              <w:pStyle w:val="Compact"/>
            </w:pPr>
            <w:r>
              <w:t xml:space="preserve">Group Policy</w:t>
            </w:r>
          </w:p>
        </w:tc>
        <w:tc>
          <w:tcPr/>
          <w:p>
            <w:pPr>
              <w:pStyle w:val="Compact"/>
            </w:pPr>
            <w:r>
              <w:t xml:space="preserve">Every GPO, its XML and HTML report, links, permissions, a native backup, and the unlinked, empty and overlapping sets</w:t>
            </w:r>
          </w:p>
        </w:tc>
        <w:tc>
          <w:tcPr/>
          <w:p>
            <w:pPr>
              <w:pStyle w:val="Compact"/>
            </w:pPr>
            <w:r>
              <w:rPr>
                <w:rStyle w:val="VerbatimChar"/>
              </w:rPr>
              <w:t xml:space="preserve">GPOInventory.json</w:t>
            </w:r>
            <w:r>
              <w:t xml:space="preserve">,</w:t>
            </w:r>
            <w:r>
              <w:t xml:space="preserve"> </w:t>
            </w:r>
            <w:r>
              <w:rPr>
                <w:rStyle w:val="VerbatimChar"/>
              </w:rPr>
              <w:t xml:space="preserve">GPOSettings\</w:t>
            </w:r>
          </w:p>
        </w:tc>
      </w:tr>
      <w:tr>
        <w:tc>
          <w:tcPr/>
          <w:p>
            <w:pPr>
              <w:pStyle w:val="Compact"/>
            </w:pPr>
            <w:r>
              <w:t xml:space="preserve">DNS</w:t>
            </w:r>
          </w:p>
        </w:tc>
        <w:tc>
          <w:tcPr/>
          <w:p>
            <w:pPr>
              <w:pStyle w:val="Compact"/>
            </w:pPr>
            <w:r>
              <w:t xml:space="preserve">Zones, partitions, forwarders, stub zones, DNSSEC, scavenging, stale records, DC locator SRV records</w:t>
            </w:r>
          </w:p>
        </w:tc>
        <w:tc>
          <w:tcPr/>
          <w:p>
            <w:pPr>
              <w:pStyle w:val="Compact"/>
            </w:pPr>
            <w:r>
              <w:rPr>
                <w:rStyle w:val="VerbatimChar"/>
              </w:rPr>
              <w:t xml:space="preserve">DNSInventory.json</w:t>
            </w:r>
          </w:p>
        </w:tc>
      </w:tr>
      <w:tr>
        <w:tc>
          <w:tcPr/>
          <w:p>
            <w:pPr>
              <w:pStyle w:val="Compact"/>
            </w:pPr>
            <w:r>
              <w:t xml:space="preserve">AD CS</w:t>
            </w:r>
          </w:p>
        </w:tc>
        <w:tc>
          <w:tcPr/>
          <w:p>
            <w:pPr>
              <w:pStyle w:val="Compact"/>
            </w:pPr>
            <w:r>
              <w:t xml:space="preserve">Enterprise CAs, templates, CDP and AIA locations, and template and CA settings that match known escalation patterns</w:t>
            </w:r>
          </w:p>
        </w:tc>
        <w:tc>
          <w:tcPr/>
          <w:p>
            <w:pPr>
              <w:pStyle w:val="Compact"/>
            </w:pPr>
            <w:r>
              <w:rPr>
                <w:rStyle w:val="VerbatimChar"/>
              </w:rPr>
              <w:t xml:space="preserve">PKIInventory.json</w:t>
            </w:r>
            <w:r>
              <w:t xml:space="preserve">,</w:t>
            </w:r>
            <w:r>
              <w:t xml:space="preserve"> </w:t>
            </w:r>
            <w:r>
              <w:rPr>
                <w:rStyle w:val="VerbatimChar"/>
              </w:rPr>
              <w:t xml:space="preserve">PKISecurityReport.json</w:t>
            </w:r>
          </w:p>
        </w:tc>
      </w:tr>
      <w:tr>
        <w:tc>
          <w:tcPr/>
          <w:p>
            <w:pPr>
              <w:pStyle w:val="Compact"/>
            </w:pPr>
            <w:r>
              <w:t xml:space="preserve">Computers</w:t>
            </w:r>
          </w:p>
        </w:tc>
        <w:tc>
          <w:tcPr/>
          <w:p>
            <w:pPr>
              <w:pStyle w:val="Compact"/>
            </w:pPr>
            <w:r>
              <w:t xml:space="preserve">Every computer object, OS classification, staleness, Kerberos delegation</w:t>
            </w:r>
          </w:p>
        </w:tc>
        <w:tc>
          <w:tcPr/>
          <w:p>
            <w:pPr>
              <w:pStyle w:val="Compact"/>
            </w:pPr>
            <w:r>
              <w:rPr>
                <w:rStyle w:val="VerbatimChar"/>
              </w:rPr>
              <w:t xml:space="preserve">ComputerInventory.json</w:t>
            </w:r>
            <w:r>
              <w:t xml:space="preserve">,</w:t>
            </w:r>
            <w:r>
              <w:t xml:space="preserve"> </w:t>
            </w:r>
            <w:r>
              <w:rPr>
                <w:rStyle w:val="VerbatimChar"/>
              </w:rPr>
              <w:t xml:space="preserve">DelegationReport.csv</w:t>
            </w:r>
          </w:p>
        </w:tc>
      </w:tr>
      <w:tr>
        <w:tc>
          <w:tcPr/>
          <w:p>
            <w:pPr>
              <w:pStyle w:val="Compact"/>
            </w:pPr>
            <w:r>
              <w:t xml:space="preserve">Users and groups</w:t>
            </w:r>
          </w:p>
        </w:tc>
        <w:tc>
          <w:tcPr/>
          <w:p>
            <w:pPr>
              <w:pStyle w:val="Compact"/>
            </w:pPr>
            <w:r>
              <w:t xml:space="preserve">Privileged membership, AdminSDHolder-protected accounts, service accounts, empty and circular groups</w:t>
            </w:r>
          </w:p>
        </w:tc>
        <w:tc>
          <w:tcPr/>
          <w:p>
            <w:pPr>
              <w:pStyle w:val="Compact"/>
            </w:pPr>
            <w:r>
              <w:rPr>
                <w:rStyle w:val="VerbatimChar"/>
              </w:rPr>
              <w:t xml:space="preserve">UserInventory.json</w:t>
            </w:r>
            <w:r>
              <w:t xml:space="preserve">,</w:t>
            </w:r>
            <w:r>
              <w:t xml:space="preserve"> </w:t>
            </w:r>
            <w:r>
              <w:rPr>
                <w:rStyle w:val="VerbatimChar"/>
              </w:rPr>
              <w:t xml:space="preserve">GroupInventory.json</w:t>
            </w:r>
          </w:p>
        </w:tc>
      </w:tr>
      <w:tr>
        <w:tc>
          <w:tcPr/>
          <w:p>
            <w:pPr>
              <w:pStyle w:val="Compact"/>
            </w:pPr>
            <w:r>
              <w:t xml:space="preserve">Trusts</w:t>
            </w:r>
          </w:p>
        </w:tc>
        <w:tc>
          <w:tcPr/>
          <w:p>
            <w:pPr>
              <w:pStyle w:val="Compact"/>
            </w:pPr>
            <w:r>
              <w:t xml:space="preserve">Direction, type, transitivity, SID filtering, selective authentication, verification status</w:t>
            </w:r>
          </w:p>
        </w:tc>
        <w:tc>
          <w:tcPr/>
          <w:p>
            <w:pPr>
              <w:pStyle w:val="Compact"/>
            </w:pPr>
            <w:r>
              <w:rPr>
                <w:rStyle w:val="VerbatimChar"/>
              </w:rPr>
              <w:t xml:space="preserve">TrustMap.json</w:t>
            </w:r>
          </w:p>
        </w:tc>
      </w:tr>
    </w:tbl>
    <w:p>
      <w:pPr>
        <w:pStyle w:val="BodyText"/>
      </w:pPr>
      <w:r>
        <w:t xml:space="preserve">Out of scope here: Microsoft Entra Connect configuration (</w:t>
      </w:r>
      <w:hyperlink r:id="rId14">
        <w:r>
          <w:rPr>
            <w:rStyle w:val="Hyperlink"/>
          </w:rPr>
          <w:t xml:space="preserve">Chapter 09</w:t>
        </w:r>
      </w:hyperlink>
      <w:r>
        <w:t xml:space="preserve">), the mapping of GPO settings to Intune policy (the workbook’s</w:t>
      </w:r>
      <w:r>
        <w:t xml:space="preserve"> </w:t>
      </w:r>
      <w:hyperlink r:id="rId15">
        <w:r>
          <w:rPr>
            <w:rStyle w:val="Hyperlink"/>
          </w:rPr>
          <w:t xml:space="preserve">GPO sunset program</w:t>
        </w:r>
      </w:hyperlink>
      <w:r>
        <w:t xml:space="preserve">), and Azure services. The assessment runs against on-premises Active Directory and writes to an on-premises repository.</w:t>
      </w:r>
    </w:p>
    <w:tbl>
      <w:tblPr>
        <w:tblStyle w:val="Table"/>
        <w:tblW w:type="pct" w:w="5000"/>
        <w:tblLayout w:type="fixed"/>
        <w:tblLook w:firstRow="0" w:lastRow="0" w:firstColumn="0" w:lastColumn="0" w:noHBand="0" w:noVBand="0" w:val="0000"/>
      </w:tblPr>
      <w:tblGrid>
        <w:gridCol w:w="7920"/>
      </w:tblGrid>
      <w:tr>
        <w:tc>
          <w:tcPr/>
          <w:bookmarkStart w:id="19" w:name="fig-ch08-topology-discovery"/>
          <w:p>
            <w:pPr>
              <w:pStyle w:val="Compact"/>
              <w:jc w:val="center"/>
            </w:pPr>
            <w:r>
              <w:drawing>
                <wp:inline>
                  <wp:extent cx="5334000" cy="2165835"/>
                  <wp:effectExtent b="0" l="0" r="0" t="0"/>
                  <wp:docPr descr="" title="" id="17" name="Picture"/>
                  <a:graphic>
                    <a:graphicData uri="http://schemas.openxmlformats.org/drawingml/2006/picture">
                      <pic:pic>
                        <pic:nvPicPr>
                          <pic:cNvPr descr="../../images/diagrams/b02-identity/svg/ch08-topology-discovery.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1658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topology discovery model: what the forest, each domain and the sites configuration contribute to the topology record.</w:t>
            </w:r>
          </w:p>
          <w:bookmarkEnd w:id="19"/>
        </w:tc>
      </w:tr>
    </w:tbl>
    <w:bookmarkEnd w:id="20"/>
    <w:bookmarkStart w:id="46" w:name="prerequisites"/>
    <w:p>
      <w:pPr>
        <w:pStyle w:val="Heading2"/>
      </w:pPr>
      <w:r>
        <w:t xml:space="preserve">Prerequisites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PowerShell in this chapter is illustrative. It hasn’t been tested against a production forest. Review it, and run it first in a test forest with the narrow rights described below. Complete functions are in</w:t>
            </w:r>
            <w:r>
              <w:t xml:space="preserve"> </w:t>
            </w:r>
            <w:hyperlink r:id="rId12">
              <w:r>
                <w:rPr>
                  <w:rStyle w:val="Hyperlink"/>
                </w:rPr>
                <w:t xml:space="preserve">Appendix B</w:t>
              </w:r>
            </w:hyperlink>
            <w:r>
              <w:t xml:space="preserve">.</w:t>
            </w:r>
          </w:p>
          <w:p/>
        </w:tc>
      </w:tr>
    </w:tbl>
    <w:bookmarkStart w:id="38" w:name="platform-and-modules"/>
    <w:p>
      <w:pPr>
        <w:pStyle w:val="Heading3"/>
      </w:pPr>
      <w:r>
        <w:t xml:space="preserve">Platform and modules</w:t>
      </w:r>
    </w:p>
    <w:p>
      <w:pPr>
        <w:pStyle w:val="FirstParagraph"/>
      </w:pPr>
      <w:r>
        <w:t xml:space="preserve">The assessment host is a domain-joined Windows Server 2025 or Windows 11 machine with the Remote Server Administration Tools (RSAT). Both report OS build 26100 or later (Windows 11 version 25H2 reports 26200), which is what the prerequisite check tests for.</w:t>
      </w:r>
      <w:r>
        <w:rPr>
          <w:rStyle w:val="FootnoteReference"/>
        </w:rPr>
        <w:footnoteReference w:id="24"/>
      </w:r>
      <w:r>
        <w:t xml:space="preserve"> </w:t>
      </w:r>
      <w:r>
        <w:t xml:space="preserve">On Windows client, RSAT tools are Features on Demand; on Windows Server they are features installed with</w:t>
      </w:r>
      <w:r>
        <w:t xml:space="preserve"> </w:t>
      </w:r>
      <w:r>
        <w:rPr>
          <w:rStyle w:val="VerbatimChar"/>
        </w:rPr>
        <w:t xml:space="preserve">Install-WindowsFeature</w:t>
      </w:r>
      <w:r>
        <w:t xml:space="preserve">.</w:t>
      </w:r>
      <w:r>
        <w:rPr>
          <w:rStyle w:val="FootnoteReference"/>
        </w:rPr>
        <w:footnoteReference w:id="27"/>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Module or tool</w:t>
            </w:r>
          </w:p>
        </w:tc>
        <w:tc>
          <w:tcPr/>
          <w:p>
            <w:pPr>
              <w:pStyle w:val="Compact"/>
            </w:pPr>
            <w:r>
              <w:t xml:space="preserve">Used for</w:t>
            </w:r>
          </w:p>
        </w:tc>
        <w:tc>
          <w:tcPr/>
          <w:p>
            <w:pPr>
              <w:pStyle w:val="Compact"/>
            </w:pPr>
            <w:r>
              <w:t xml:space="preserve">Windows client (Feature on Demand)</w:t>
            </w:r>
          </w:p>
        </w:tc>
        <w:tc>
          <w:tcPr/>
          <w:p>
            <w:pPr>
              <w:pStyle w:val="Compact"/>
            </w:pPr>
            <w:r>
              <w:t xml:space="preserve">Windows Server</w:t>
            </w:r>
          </w:p>
        </w:tc>
      </w:tr>
      <w:tr>
        <w:tc>
          <w:tcPr/>
          <w:p>
            <w:pPr>
              <w:pStyle w:val="Compact"/>
            </w:pPr>
            <w:r>
              <w:t xml:space="preserve">ActiveDirectory</w:t>
            </w:r>
          </w:p>
        </w:tc>
        <w:tc>
          <w:tcPr/>
          <w:p>
            <w:pPr>
              <w:pStyle w:val="Compact"/>
            </w:pPr>
            <w:r>
              <w:t xml:space="preserve">Forest, domain, object and trust queries</w:t>
            </w:r>
          </w:p>
        </w:tc>
        <w:tc>
          <w:tcPr/>
          <w:p>
            <w:pPr>
              <w:pStyle w:val="Compact"/>
            </w:pPr>
            <w:r>
              <w:rPr>
                <w:rStyle w:val="VerbatimChar"/>
              </w:rPr>
              <w:t xml:space="preserve">Rsat.ActiveDirectory.DS-LDS.Tools~~~~0.0.1.0</w:t>
            </w:r>
          </w:p>
        </w:tc>
        <w:tc>
          <w:tcPr/>
          <w:p>
            <w:pPr>
              <w:pStyle w:val="Compact"/>
            </w:pPr>
            <w:r>
              <w:rPr>
                <w:rStyle w:val="VerbatimChar"/>
              </w:rPr>
              <w:t xml:space="preserve">RSAT-AD-PowerShell</w:t>
            </w:r>
          </w:p>
        </w:tc>
      </w:tr>
      <w:tr>
        <w:tc>
          <w:tcPr/>
          <w:p>
            <w:pPr>
              <w:pStyle w:val="Compact"/>
            </w:pPr>
            <w:r>
              <w:t xml:space="preserve">GroupPolicy</w:t>
            </w:r>
          </w:p>
        </w:tc>
        <w:tc>
          <w:tcPr/>
          <w:p>
            <w:pPr>
              <w:pStyle w:val="Compact"/>
            </w:pPr>
            <w:r>
              <w:t xml:space="preserve">GPO inventory, reports, links, permissions, backup</w:t>
            </w:r>
          </w:p>
        </w:tc>
        <w:tc>
          <w:tcPr/>
          <w:p>
            <w:pPr>
              <w:pStyle w:val="Compact"/>
            </w:pPr>
            <w:r>
              <w:rPr>
                <w:rStyle w:val="VerbatimChar"/>
              </w:rPr>
              <w:t xml:space="preserve">Rsat.GroupPolicy.Management.Tools~~~~0.0.1.0</w:t>
            </w:r>
          </w:p>
        </w:tc>
        <w:tc>
          <w:tcPr/>
          <w:p>
            <w:pPr>
              <w:pStyle w:val="Compact"/>
            </w:pPr>
            <w:r>
              <w:rPr>
                <w:rStyle w:val="VerbatimChar"/>
              </w:rPr>
              <w:t xml:space="preserve">GPMC</w:t>
            </w:r>
          </w:p>
        </w:tc>
      </w:tr>
      <w:tr>
        <w:tc>
          <w:tcPr/>
          <w:p>
            <w:pPr>
              <w:pStyle w:val="Compact"/>
            </w:pPr>
            <w:r>
              <w:t xml:space="preserve">DnsServer</w:t>
            </w:r>
          </w:p>
        </w:tc>
        <w:tc>
          <w:tcPr/>
          <w:p>
            <w:pPr>
              <w:pStyle w:val="Compact"/>
            </w:pPr>
            <w:r>
              <w:t xml:space="preserve">Zone, record, DNSSEC and scavenging queries</w:t>
            </w:r>
          </w:p>
        </w:tc>
        <w:tc>
          <w:tcPr/>
          <w:p>
            <w:pPr>
              <w:pStyle w:val="Compact"/>
            </w:pPr>
            <w:r>
              <w:rPr>
                <w:rStyle w:val="VerbatimChar"/>
              </w:rPr>
              <w:t xml:space="preserve">Rsat.Dns.Tools~~~~0.0.1.0</w:t>
            </w:r>
          </w:p>
        </w:tc>
        <w:tc>
          <w:tcPr/>
          <w:p>
            <w:pPr>
              <w:pStyle w:val="Compact"/>
            </w:pPr>
            <w:r>
              <w:rPr>
                <w:rStyle w:val="VerbatimChar"/>
              </w:rPr>
              <w:t xml:space="preserve">RSAT-DNS-Server</w:t>
            </w:r>
          </w:p>
        </w:tc>
      </w:tr>
      <w:tr>
        <w:tc>
          <w:tcPr/>
          <w:p>
            <w:pPr>
              <w:pStyle w:val="Compact"/>
            </w:pPr>
            <w:r>
              <w:t xml:space="preserve">AD CS tools</w:t>
            </w:r>
          </w:p>
        </w:tc>
        <w:tc>
          <w:tcPr/>
          <w:p>
            <w:pPr>
              <w:pStyle w:val="Compact"/>
            </w:pPr>
            <w:r>
              <w:t xml:space="preserve">CA and template snap-ins,</w:t>
            </w:r>
            <w:r>
              <w:t xml:space="preserve"> </w:t>
            </w:r>
            <w:r>
              <w:rPr>
                <w:rStyle w:val="VerbatimChar"/>
              </w:rPr>
              <w:t xml:space="preserve">certutil</w:t>
            </w:r>
            <w:r>
              <w:t xml:space="preserve"> </w:t>
            </w:r>
            <w:r>
              <w:t xml:space="preserve">against remote CAs</w:t>
            </w:r>
          </w:p>
        </w:tc>
        <w:tc>
          <w:tcPr/>
          <w:p>
            <w:pPr>
              <w:pStyle w:val="Compact"/>
            </w:pPr>
            <w:r>
              <w:rPr>
                <w:rStyle w:val="VerbatimChar"/>
              </w:rPr>
              <w:t xml:space="preserve">Rsat.CertificateServices.Tools~~~~0.0.1.0</w:t>
            </w:r>
          </w:p>
        </w:tc>
        <w:tc>
          <w:tcPr/>
          <w:p>
            <w:pPr>
              <w:pStyle w:val="Compact"/>
            </w:pPr>
            <w:r>
              <w:t xml:space="preserve">AD CS management tools</w:t>
            </w:r>
          </w:p>
        </w:tc>
      </w:tr>
      <w:tr>
        <w:tc>
          <w:tcPr/>
          <w:p>
            <w:pPr>
              <w:pStyle w:val="Compact"/>
            </w:pPr>
            <w:r>
              <w:t xml:space="preserve">PSPKI (optional)</w:t>
            </w:r>
          </w:p>
        </w:tc>
        <w:tc>
          <w:tcPr/>
          <w:p>
            <w:pPr>
              <w:pStyle w:val="Compact"/>
            </w:pPr>
            <w:r>
              <w:t xml:space="preserve">Convenience cmdlets for CAs and templates</w:t>
            </w:r>
          </w:p>
        </w:tc>
        <w:tc>
          <w:tcPr/>
          <w:p>
            <w:pPr>
              <w:pStyle w:val="Compact"/>
            </w:pPr>
            <w:r>
              <w:rPr>
                <w:rStyle w:val="VerbatimChar"/>
              </w:rPr>
              <w:t xml:space="preserve">Install-Module PSPKI -Scope CurrentUser</w:t>
            </w:r>
          </w:p>
        </w:tc>
        <w:tc>
          <w:tcPr/>
          <w:p>
            <w:pPr>
              <w:pStyle w:val="Compact"/>
            </w:pPr>
            <w:r>
              <w:t xml:space="preserve">Same</w:t>
            </w:r>
          </w:p>
        </w:tc>
      </w:tr>
    </w:tbl>
    <w:p>
      <w:pPr>
        <w:pStyle w:val="BodyText"/>
      </w:pPr>
      <w:r>
        <w:t xml:space="preserve">The client capability names are as Microsoft publishes them.</w:t>
      </w:r>
      <w:r>
        <w:rPr>
          <w:rStyle w:val="FootnoteReference"/>
        </w:rPr>
        <w:footnoteReference w:id="29"/>
      </w:r>
      <w:r>
        <w:t xml:space="preserve"> </w:t>
      </w:r>
      <w:r>
        <w:t xml:space="preserve">On Windows Server, run</w:t>
      </w:r>
      <w:r>
        <w:t xml:space="preserve"> </w:t>
      </w:r>
      <w:r>
        <w:rPr>
          <w:rStyle w:val="VerbatimChar"/>
        </w:rPr>
        <w:t xml:space="preserve">Get-WindowsFeature -Name RSAT*</w:t>
      </w:r>
      <w:r>
        <w:t xml:space="preserve"> </w:t>
      </w:r>
      <w:r>
        <w:t xml:space="preserve">and confirm the exact feature names before scripting the install; Microsoft’s guidance shows that discovery step and the</w:t>
      </w:r>
      <w:r>
        <w:t xml:space="preserve"> </w:t>
      </w:r>
      <w:r>
        <w:rPr>
          <w:rStyle w:val="VerbatimChar"/>
        </w:rPr>
        <w:t xml:space="preserve">RSAT-AD-PowerShell</w:t>
      </w:r>
      <w:r>
        <w:t xml:space="preserve"> </w:t>
      </w:r>
      <w:r>
        <w:t xml:space="preserve">name.</w:t>
      </w:r>
      <w:r>
        <w:rPr>
          <w:rStyle w:val="FootnoteReference"/>
        </w:rPr>
        <w:footnoteReference w:id="31"/>
      </w:r>
      <w:r>
        <w:rPr>
          <w:rStyle w:val="FootnoteReference"/>
        </w:rPr>
        <w:footnoteReference w:id="32"/>
      </w:r>
    </w:p>
    <w:p>
      <w:pPr>
        <w:pStyle w:val="BodyText"/>
      </w:pPr>
      <w:r>
        <w:t xml:space="preserve">Two corrections to the source design. First, the</w:t>
      </w:r>
      <w:r>
        <w:t xml:space="preserve"> </w:t>
      </w:r>
      <w:r>
        <w:rPr>
          <w:rStyle w:val="VerbatimChar"/>
        </w:rPr>
        <w:t xml:space="preserve">ADCSAdministration</w:t>
      </w:r>
      <w:r>
        <w:t xml:space="preserve"> </w:t>
      </w:r>
      <w:r>
        <w:t xml:space="preserve">module, which the source listed as required, isn’t used by any assessment function; it manages a local CA role and isn’t needed on the assessment host. Second, PSPKI is now optional. Its publisher says it no longer actively supports or updates the module, although version 4.4.1 was still published to the PowerShell Gallery in June 2026.</w:t>
      </w:r>
      <w:r>
        <w:rPr>
          <w:rStyle w:val="FootnoteReference"/>
        </w:rPr>
        <w:footnoteReference w:id="34"/>
      </w:r>
      <w:r>
        <w:rPr>
          <w:rStyle w:val="FootnoteReference"/>
        </w:rPr>
        <w:footnoteReference w:id="36"/>
      </w:r>
      <w:r>
        <w:t xml:space="preserve"> </w:t>
      </w:r>
      <w:r>
        <w:t xml:space="preserve">The collectors in this chapter read AD CS configuration directly from the directory and from</w:t>
      </w:r>
      <w:r>
        <w:t xml:space="preserve"> </w:t>
      </w:r>
      <w:r>
        <w:rPr>
          <w:rStyle w:val="VerbatimChar"/>
        </w:rPr>
        <w:t xml:space="preserve">certutil</w:t>
      </w:r>
      <w:r>
        <w:t xml:space="preserve">, and use PSPKI only where it’s installed and approved.</w:t>
      </w:r>
    </w:p>
    <w:bookmarkEnd w:id="38"/>
    <w:bookmarkStart w:id="44" w:name="rights"/>
    <w:p>
      <w:pPr>
        <w:pStyle w:val="Heading3"/>
      </w:pPr>
      <w:r>
        <w:t xml:space="preserve">Rights</w:t>
      </w:r>
    </w:p>
    <w:p>
      <w:pPr>
        <w:pStyle w:val="FirstParagraph"/>
      </w:pPr>
      <w:r>
        <w:t xml:space="preserve">Most of the forest is readable by any authenticated user. The parts that aren’t are the reason this chapter exists.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Collector</w:t>
            </w:r>
          </w:p>
        </w:tc>
        <w:tc>
          <w:tcPr/>
          <w:p>
            <w:pPr>
              <w:pStyle w:val="Compact"/>
            </w:pPr>
            <w:r>
              <w:t xml:space="preserve">Minimum rights</w:t>
            </w:r>
          </w:p>
        </w:tc>
        <w:tc>
          <w:tcPr/>
          <w:p>
            <w:pPr>
              <w:pStyle w:val="Compact"/>
            </w:pPr>
            <w:r>
              <w:t xml:space="preserve">Notes</w:t>
            </w:r>
          </w:p>
        </w:tc>
      </w:tr>
      <w:tr>
        <w:tc>
          <w:tcPr/>
          <w:p>
            <w:pPr>
              <w:pStyle w:val="Compact"/>
            </w:pPr>
            <w:r>
              <w:rPr>
                <w:rStyle w:val="VerbatimChar"/>
              </w:rPr>
              <w:t xml:space="preserve">Get-FMPForestTopology</w:t>
            </w:r>
          </w:p>
        </w:tc>
        <w:tc>
          <w:tcPr/>
          <w:p>
            <w:pPr>
              <w:pStyle w:val="Compact"/>
            </w:pPr>
            <w:r>
              <w:t xml:space="preserve">Authenticated user</w:t>
            </w:r>
          </w:p>
        </w:tc>
        <w:tc>
          <w:tcPr/>
          <w:p>
            <w:pPr>
              <w:pStyle w:val="Compact"/>
            </w:pPr>
            <w:r>
              <w:t xml:space="preserve">Forest, domain, site and DC metadata are readable by default</w:t>
            </w:r>
          </w:p>
        </w:tc>
      </w:tr>
      <w:tr>
        <w:tc>
          <w:tcPr/>
          <w:p>
            <w:pPr>
              <w:pStyle w:val="Compact"/>
            </w:pPr>
            <w:r>
              <w:rPr>
                <w:rStyle w:val="VerbatimChar"/>
              </w:rPr>
              <w:t xml:space="preserve">Get-FMPOUHierarchy</w:t>
            </w:r>
          </w:p>
        </w:tc>
        <w:tc>
          <w:tcPr/>
          <w:p>
            <w:pPr>
              <w:pStyle w:val="Compact"/>
            </w:pPr>
            <w:r>
              <w:t xml:space="preserve">Read on OUs; read permissions on their security descriptors</w:t>
            </w:r>
          </w:p>
        </w:tc>
        <w:tc>
          <w:tcPr/>
          <w:p>
            <w:pPr>
              <w:pStyle w:val="Compact"/>
            </w:pPr>
            <w:r>
              <w:t xml:space="preserve">Some ACLs need explicit read-permissions rights</w:t>
            </w:r>
          </w:p>
        </w:tc>
      </w:tr>
      <w:tr>
        <w:tc>
          <w:tcPr/>
          <w:p>
            <w:pPr>
              <w:pStyle w:val="Compact"/>
            </w:pPr>
            <w:r>
              <w:rPr>
                <w:rStyle w:val="VerbatimChar"/>
              </w:rPr>
              <w:t xml:space="preserve">Get-FMPGPOInventory</w:t>
            </w:r>
          </w:p>
        </w:tc>
        <w:tc>
          <w:tcPr/>
          <w:p>
            <w:pPr>
              <w:pStyle w:val="Compact"/>
            </w:pPr>
            <w:r>
              <w:t xml:space="preserve">Read on GPOs and SYSVOL; GPO backup rights</w:t>
            </w:r>
          </w:p>
        </w:tc>
        <w:tc>
          <w:tcPr/>
          <w:p>
            <w:pPr>
              <w:pStyle w:val="Compact"/>
            </w:pPr>
            <w:r>
              <w:t xml:space="preserve">Backup needs explicit delegation</w:t>
            </w:r>
          </w:p>
        </w:tc>
      </w:tr>
      <w:tr>
        <w:tc>
          <w:tcPr/>
          <w:p>
            <w:pPr>
              <w:pStyle w:val="Compact"/>
            </w:pPr>
            <w:r>
              <w:rPr>
                <w:rStyle w:val="VerbatimChar"/>
              </w:rPr>
              <w:t xml:space="preserve">Get-FMPDNSAssessment</w:t>
            </w:r>
          </w:p>
        </w:tc>
        <w:tc>
          <w:tcPr/>
          <w:p>
            <w:pPr>
              <w:pStyle w:val="Compact"/>
            </w:pPr>
            <w:r>
              <w:t xml:space="preserve">Read permission on each DNS server</w:t>
            </w:r>
          </w:p>
        </w:tc>
        <w:tc>
          <w:tcPr/>
          <w:p>
            <w:pPr>
              <w:pStyle w:val="Compact"/>
            </w:pPr>
            <w:r>
              <w:t xml:space="preserve">Delegate read on the server; don’t use DnsAdmins (see below)</w:t>
            </w:r>
          </w:p>
        </w:tc>
      </w:tr>
      <w:tr>
        <w:tc>
          <w:tcPr/>
          <w:p>
            <w:pPr>
              <w:pStyle w:val="Compact"/>
            </w:pPr>
            <w:r>
              <w:rPr>
                <w:rStyle w:val="VerbatimChar"/>
              </w:rPr>
              <w:t xml:space="preserve">Get-FMPPKIAssessment</w:t>
            </w:r>
          </w:p>
        </w:tc>
        <w:tc>
          <w:tcPr/>
          <w:p>
            <w:pPr>
              <w:pStyle w:val="Compact"/>
            </w:pPr>
            <w:r>
              <w:t xml:space="preserve">Read on the Public Key Services containers; read on each CA</w:t>
            </w:r>
          </w:p>
        </w:tc>
        <w:tc>
          <w:tcPr/>
          <w:p>
            <w:pPr>
              <w:pStyle w:val="Compact"/>
            </w:pPr>
            <w:r>
              <w:rPr>
                <w:rStyle w:val="VerbatimChar"/>
              </w:rPr>
              <w:t xml:space="preserve">certutil -getreg</w:t>
            </w:r>
            <w:r>
              <w:t xml:space="preserve"> </w:t>
            </w:r>
            <w:r>
              <w:t xml:space="preserve">against a CA can need CA-level rights</w:t>
            </w:r>
          </w:p>
        </w:tc>
      </w:tr>
      <w:tr>
        <w:tc>
          <w:tcPr/>
          <w:p>
            <w:pPr>
              <w:pStyle w:val="Compact"/>
            </w:pPr>
            <w:r>
              <w:rPr>
                <w:rStyle w:val="VerbatimChar"/>
              </w:rPr>
              <w:t xml:space="preserve">Get-FMPComputerInventory</w:t>
            </w:r>
          </w:p>
        </w:tc>
        <w:tc>
          <w:tcPr/>
          <w:p>
            <w:pPr>
              <w:pStyle w:val="Compact"/>
            </w:pPr>
            <w:r>
              <w:t xml:space="preserve">Authenticated user</w:t>
            </w:r>
          </w:p>
        </w:tc>
        <w:tc>
          <w:tcPr/>
          <w:p>
            <w:pPr>
              <w:pStyle w:val="Compact"/>
            </w:pPr>
            <w:r>
              <w:t xml:space="preserve">Delegation attributes are readable by default</w:t>
            </w:r>
          </w:p>
        </w:tc>
      </w:tr>
      <w:tr>
        <w:tc>
          <w:tcPr/>
          <w:p>
            <w:pPr>
              <w:pStyle w:val="Compact"/>
            </w:pPr>
            <w:r>
              <w:rPr>
                <w:rStyle w:val="VerbatimChar"/>
              </w:rPr>
              <w:t xml:space="preserve">Get-FMPUserInventory</w:t>
            </w:r>
            <w:r>
              <w:t xml:space="preserve">,</w:t>
            </w:r>
            <w:r>
              <w:t xml:space="preserve"> </w:t>
            </w:r>
            <w:r>
              <w:rPr>
                <w:rStyle w:val="VerbatimChar"/>
              </w:rPr>
              <w:t xml:space="preserve">Get-FMPGroupInventory</w:t>
            </w:r>
          </w:p>
        </w:tc>
        <w:tc>
          <w:tcPr/>
          <w:p>
            <w:pPr>
              <w:pStyle w:val="Compact"/>
            </w:pPr>
            <w:r>
              <w:t xml:space="preserve">Authenticated user</w:t>
            </w:r>
          </w:p>
        </w:tc>
        <w:tc>
          <w:tcPr/>
          <w:p>
            <w:pPr>
              <w:pStyle w:val="Compact"/>
            </w:pPr>
            <w:r>
              <w:t xml:space="preserve">Recursive expansion is slow in large forests</w:t>
            </w:r>
          </w:p>
        </w:tc>
      </w:tr>
      <w:tr>
        <w:tc>
          <w:tcPr/>
          <w:p>
            <w:pPr>
              <w:pStyle w:val="Compact"/>
            </w:pPr>
            <w:r>
              <w:rPr>
                <w:rStyle w:val="VerbatimChar"/>
              </w:rPr>
              <w:t xml:space="preserve">Get-FMPTrustMap</w:t>
            </w:r>
          </w:p>
        </w:tc>
        <w:tc>
          <w:tcPr/>
          <w:p>
            <w:pPr>
              <w:pStyle w:val="Compact"/>
            </w:pPr>
            <w:r>
              <w:t xml:space="preserve">Authenticated user to enumerate; Domain Admins to verify</w:t>
            </w:r>
          </w:p>
        </w:tc>
        <w:tc>
          <w:tcPr/>
          <w:p>
            <w:pPr>
              <w:pStyle w:val="Compact"/>
            </w:pPr>
            <w:r>
              <w:rPr>
                <w:rStyle w:val="VerbatimChar"/>
              </w:rPr>
              <w:t xml:space="preserve">netdom</w:t>
            </w:r>
            <w:r>
              <w:t xml:space="preserve"> </w:t>
            </w:r>
            <w:r>
              <w:t xml:space="preserve">verification needs administrative credentials</w:t>
            </w:r>
          </w:p>
        </w:tc>
      </w:tr>
    </w:tbl>
    <w:p>
      <w:pPr>
        <w:pStyle w:val="BodyText"/>
      </w:pPr>
      <w:r>
        <w:t xml:space="preserve">The source guide recommended adding the assessment account to</w:t>
      </w:r>
      <w:r>
        <w:t xml:space="preserve"> </w:t>
      </w:r>
      <w:r>
        <w:rPr>
          <w:b/>
          <w:bCs/>
        </w:rPr>
        <w:t xml:space="preserve">DnsAdmins</w:t>
      </w:r>
      <w:r>
        <w:t xml:space="preserve"> </w:t>
      </w:r>
      <w:r>
        <w:t xml:space="preserve">for DNS read access. Don’t. Microsoft treats DnsAdmins as a privileged group, because its members have administrative control over the DNS Server service, and Defender for Identity flags non-privileged members as a risk.</w:t>
      </w:r>
      <w:r>
        <w:rPr>
          <w:rStyle w:val="FootnoteReference"/>
        </w:rPr>
        <w:footnoteReference w:id="39"/>
      </w:r>
      <w:r>
        <w:t xml:space="preserve"> </w:t>
      </w:r>
      <w:r>
        <w:t xml:space="preserve">Grant read permission on the DNS server object to a dedicated group instead. The same reasoning applies to the source’s</w:t>
      </w:r>
      <w:r>
        <w:t xml:space="preserve"> </w:t>
      </w:r>
      <w:r>
        <w:t xml:space="preserve">“Domain Admin for initial discovery.”</w:t>
      </w:r>
      <w:r>
        <w:t xml:space="preserve"> </w:t>
      </w:r>
      <w:r>
        <w:t xml:space="preserve">The program’s position is that no assessment run uses a standing Domain Admins account; trust verification is the only step that needs those rights, and it runs separately under a just-in-time elevation.</w:t>
      </w:r>
    </w:p>
    <w:p>
      <w:pPr>
        <w:pStyle w:val="BodyText"/>
      </w:pPr>
      <w:r>
        <w:t xml:space="preserve">Trust verification needs those credentials because</w:t>
      </w:r>
      <w:r>
        <w:t xml:space="preserve"> </w:t>
      </w:r>
      <w:r>
        <w:rPr>
          <w:rStyle w:val="VerbatimChar"/>
        </w:rPr>
        <w:t xml:space="preserve">netdom</w:t>
      </w:r>
      <w:r>
        <w:t xml:space="preserve"> </w:t>
      </w:r>
      <w:r>
        <w:t xml:space="preserve">requires domain administrator credentials for accurate verification.</w:t>
      </w:r>
      <w:r>
        <w:rPr>
          <w:rStyle w:val="FootnoteReference"/>
        </w:rPr>
        <w:footnoteReference w:id="41"/>
      </w:r>
    </w:p>
    <w:bookmarkEnd w:id="44"/>
    <w:bookmarkStart w:id="45" w:name="output-layout"/>
    <w:p>
      <w:pPr>
        <w:pStyle w:val="Heading3"/>
      </w:pPr>
      <w:r>
        <w:t xml:space="preserve">Output layout</w:t>
      </w:r>
    </w:p>
    <w:p>
      <w:pPr>
        <w:pStyle w:val="FirstParagraph"/>
      </w:pPr>
      <w:r>
        <w:t xml:space="preserve">Every run writes to the same tree, rooted at the domain’s DNS name, so runs compare file by file:</w:t>
      </w:r>
    </w:p>
    <w:p>
      <w:pPr>
        <w:pStyle w:val="SourceCode"/>
      </w:pPr>
      <w:r>
        <w:rPr>
          <w:rStyle w:val="VerbatimChar"/>
        </w:rPr>
        <w:t xml:space="preserve">D:\FMP\Assessment\&lt;domain&gt;\</w:t>
      </w:r>
      <w:r>
        <w:br/>
      </w:r>
      <w:r>
        <w:rPr>
          <w:rStyle w:val="VerbatimChar"/>
        </w:rPr>
        <w:t xml:space="preserve">├── AssessmentManifest.json</w:t>
      </w:r>
      <w:r>
        <w:br/>
      </w:r>
      <w:r>
        <w:rPr>
          <w:rStyle w:val="VerbatimChar"/>
        </w:rPr>
        <w:t xml:space="preserve">├── Forest\     ForestTopology.json, ForestInfo.json, Sites.json, SiteLinks.json, Subnets.json, FSMORoles.json</w:t>
      </w:r>
      <w:r>
        <w:br/>
      </w:r>
      <w:r>
        <w:rPr>
          <w:rStyle w:val="VerbatimChar"/>
        </w:rPr>
        <w:t xml:space="preserve">├── Domains\    AllDomains.json, &lt;domain&gt;.json, DomainControllers.json</w:t>
      </w:r>
      <w:r>
        <w:br/>
      </w:r>
      <w:r>
        <w:rPr>
          <w:rStyle w:val="VerbatimChar"/>
        </w:rPr>
        <w:t xml:space="preserve">├── OUs\        OUHierarchy.json, OUFlatList.csv, OUFlatExport.json, OUGPOLinks.json, OUDelegations.json, OUTreeVisual.txt</w:t>
      </w:r>
      <w:r>
        <w:br/>
      </w:r>
      <w:r>
        <w:rPr>
          <w:rStyle w:val="VerbatimChar"/>
        </w:rPr>
        <w:t xml:space="preserve">├── GPOs\       GPOInventory.json, GPOLinks.json, GPOEmpty.json, GPOConflicts.json, GPOPermissions.json,</w:t>
      </w:r>
      <w:r>
        <w:br/>
      </w:r>
      <w:r>
        <w:rPr>
          <w:rStyle w:val="VerbatimChar"/>
        </w:rPr>
        <w:t xml:space="preserve">│               GPOSettingsDecomposed.json</w:t>
      </w:r>
      <w:r>
        <w:br/>
      </w:r>
      <w:r>
        <w:rPr>
          <w:rStyle w:val="VerbatimChar"/>
        </w:rPr>
        <w:t xml:space="preserve">│   ├── GPOSettings\   &lt;GUID&gt;.xml, &lt;GUID&gt;.html</w:t>
      </w:r>
      <w:r>
        <w:br/>
      </w:r>
      <w:r>
        <w:rPr>
          <w:rStyle w:val="VerbatimChar"/>
        </w:rPr>
        <w:t xml:space="preserve">│   └── GPOBackups\</w:t>
      </w:r>
      <w:r>
        <w:br/>
      </w:r>
      <w:r>
        <w:rPr>
          <w:rStyle w:val="VerbatimChar"/>
        </w:rPr>
        <w:t xml:space="preserve">├── DNS\        DNSInventory.json, DNSHealthReport.json, DNSRecordInventory.json</w:t>
      </w:r>
      <w:r>
        <w:br/>
      </w:r>
      <w:r>
        <w:rPr>
          <w:rStyle w:val="VerbatimChar"/>
        </w:rPr>
        <w:t xml:space="preserve">├── PKI\        PKIInventory.json, PKISecurityReport.json, &lt;CA name&gt;.cer</w:t>
      </w:r>
      <w:r>
        <w:br/>
      </w:r>
      <w:r>
        <w:rPr>
          <w:rStyle w:val="VerbatimChar"/>
        </w:rPr>
        <w:t xml:space="preserve">├── Objects\    ComputerInventory.json, ComputersByOS.csv, StaleComputers.csv, DelegationReport.csv,</w:t>
      </w:r>
      <w:r>
        <w:br/>
      </w:r>
      <w:r>
        <w:rPr>
          <w:rStyle w:val="VerbatimChar"/>
        </w:rPr>
        <w:t xml:space="preserve">│               UserInventory.json, PrivilegedUsers.csv, AdminCountReport.csv, ServiceAccounts.csv,</w:t>
      </w:r>
      <w:r>
        <w:br/>
      </w:r>
      <w:r>
        <w:rPr>
          <w:rStyle w:val="VerbatimChar"/>
        </w:rPr>
        <w:t xml:space="preserve">│               GroupInventory.json, CircularGroups.json</w:t>
      </w:r>
      <w:r>
        <w:br/>
      </w:r>
      <w:r>
        <w:rPr>
          <w:rStyle w:val="VerbatimChar"/>
        </w:rPr>
        <w:t xml:space="preserve">├── Trusts\     TrustMap.json</w:t>
      </w:r>
      <w:r>
        <w:br/>
      </w:r>
      <w:r>
        <w:rPr>
          <w:rStyle w:val="VerbatimChar"/>
        </w:rPr>
        <w:t xml:space="preserve">└── ServiceAccounts\   MSAInventory.json, gMSAInventory.json</w:t>
      </w:r>
    </w:p>
    <w:p>
      <w:pPr>
        <w:pStyle w:val="FirstParagraph"/>
      </w:pPr>
      <w:r>
        <w:rPr>
          <w:rStyle w:val="VerbatimChar"/>
        </w:rPr>
        <w:t xml:space="preserve">Test-FMPPrerequisites</w:t>
      </w:r>
      <w:r>
        <w:t xml:space="preserve"> </w:t>
      </w:r>
      <w:r>
        <w:t xml:space="preserve">in Appendix B checks the OS build, the modules, forest connectivity and the output root, and returns a pass or fail row for each.</w:t>
      </w:r>
    </w:p>
    <w:bookmarkEnd w:id="45"/>
    <w:bookmarkEnd w:id="46"/>
    <w:bookmarkStart w:id="67" w:name="forest-and-domain-topology"/>
    <w:p>
      <w:pPr>
        <w:pStyle w:val="Heading2"/>
      </w:pPr>
      <w:r>
        <w:t xml:space="preserve">Forest and domain topology</w:t>
      </w:r>
    </w:p>
    <w:p>
      <w:pPr>
        <w:pStyle w:val="FirstParagraph"/>
      </w:pPr>
      <w:r>
        <w:t xml:space="preserve">Topology discovery records the shape of the forest before anything inside it. It answers the questions that size every later decision: how many domains, at what functional level, with how many domain controllers in how many sites, and which controllers hold the operations master roles.</w:t>
      </w:r>
    </w:p>
    <w:bookmarkStart w:id="52" w:name="operations-master-roles"/>
    <w:p>
      <w:pPr>
        <w:pStyle w:val="Heading3"/>
      </w:pPr>
      <w:r>
        <w:t xml:space="preserve">Operations master roles</w:t>
      </w:r>
    </w:p>
    <w:p>
      <w:pPr>
        <w:pStyle w:val="FirstParagraph"/>
      </w:pPr>
      <w:r>
        <w:t xml:space="preserve">Active Directory has five operations master (FSMO) roles. Two are forest-wide and exist once per forest: the schema master and the domain naming master. Three are domain-wide and exist once in every domain: the PDC emulator, the RID master and the infrastructure master.</w:t>
      </w:r>
      <w:r>
        <w:rPr>
          <w:rStyle w:val="FootnoteReference"/>
        </w:rPr>
        <w:footnoteReference w:id="47"/>
      </w:r>
      <w:r>
        <w:t xml:space="preserve"> </w:t>
      </w:r>
      <w:r>
        <w:t xml:space="preserve">The PDC emulator in the forest root domain is also the authoritative time source for the forest.</w:t>
      </w:r>
      <w:r>
        <w:rPr>
          <w:rStyle w:val="FootnoteReference"/>
        </w:rPr>
        <w:footnoteReference w:id="49"/>
      </w:r>
      <w:r>
        <w:t xml:space="preserve"> </w:t>
      </w:r>
      <w:r>
        <w:t xml:space="preserve">A three-domain forest therefore has eleven role holders to record, not five.</w:t>
      </w:r>
    </w:p>
    <w:p>
      <w:pPr>
        <w:pStyle w:val="BodyText"/>
      </w:pPr>
      <w:r>
        <w:rPr>
          <w:rStyle w:val="VerbatimChar"/>
        </w:rPr>
        <w:t xml:space="preserve">Get-ADForest</w:t>
      </w:r>
      <w:r>
        <w:t xml:space="preserve"> </w:t>
      </w:r>
      <w:r>
        <w:t xml:space="preserve">returns the two forest-wide holders and</w:t>
      </w:r>
      <w:r>
        <w:t xml:space="preserve"> </w:t>
      </w:r>
      <w:r>
        <w:rPr>
          <w:rStyle w:val="VerbatimChar"/>
        </w:rPr>
        <w:t xml:space="preserve">Get-ADDomain</w:t>
      </w:r>
      <w:r>
        <w:t xml:space="preserve"> </w:t>
      </w:r>
      <w:r>
        <w:t xml:space="preserve">returns the three domain-wide holders.</w:t>
      </w:r>
      <w:r>
        <w:t xml:space="preserve"> </w:t>
      </w:r>
      <w:r>
        <w:rPr>
          <w:rStyle w:val="VerbatimChar"/>
        </w:rPr>
        <w:t xml:space="preserve">Get-ADDomainController</w:t>
      </w:r>
      <w:r>
        <w:t xml:space="preserve"> </w:t>
      </w:r>
      <w:r>
        <w:t xml:space="preserve">also returns an</w:t>
      </w:r>
      <w:r>
        <w:t xml:space="preserve"> </w:t>
      </w:r>
      <w:r>
        <w:rPr>
          <w:rStyle w:val="VerbatimChar"/>
        </w:rPr>
        <w:t xml:space="preserve">OperationMasterRoles</w:t>
      </w:r>
      <w:r>
        <w:t xml:space="preserve"> </w:t>
      </w:r>
      <w:r>
        <w:t xml:space="preserve">property for each controller, which is the simpler way to attribute roles to controllers.</w:t>
      </w:r>
      <w:r>
        <w:rPr>
          <w:rStyle w:val="FootnoteReference"/>
        </w:rPr>
        <w:footnoteReference w:id="50"/>
      </w:r>
    </w:p>
    <w:p>
      <w:pPr>
        <w:pStyle w:val="SourceCode"/>
      </w:pP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Get-ADForest</w:t>
      </w:r>
      <w:r>
        <w:br/>
      </w:r>
      <w:r>
        <w:rPr>
          <w:rStyle w:val="ControlFlowTok"/>
        </w:rPr>
        <w:t xml:space="preserve">foreach</w:t>
      </w:r>
      <w:r>
        <w:rPr>
          <w:rStyle w:val="NormalTok"/>
        </w:rPr>
        <w:t xml:space="preserve"> </w:t>
      </w:r>
      <w:r>
        <w:rPr>
          <w:rStyle w:val="OperatorTok"/>
        </w:rPr>
        <w:t xml:space="preserve">(</w:t>
      </w:r>
      <w:r>
        <w:rPr>
          <w:rStyle w:val="VariableTok"/>
        </w:rPr>
        <w:t xml:space="preserve">$domainDns</w:t>
      </w:r>
      <w:r>
        <w:rPr>
          <w:rStyle w:val="NormalTok"/>
        </w:rPr>
        <w:t xml:space="preserve"> </w:t>
      </w:r>
      <w:r>
        <w:rPr>
          <w:rStyle w:val="KeywordTok"/>
        </w:rPr>
        <w:t xml:space="preserve">in</w:t>
      </w:r>
      <w:r>
        <w:rPr>
          <w:rStyle w:val="NormalTok"/>
        </w:rPr>
        <w:t xml:space="preserve"> </w:t>
      </w:r>
      <w:r>
        <w:rPr>
          <w:rStyle w:val="VariableTok"/>
        </w:rPr>
        <w:t xml:space="preserve">$forest</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$domainDns</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HostName</w:t>
      </w:r>
      <w:r>
        <w:rPr>
          <w:rStyle w:val="OperatorTok"/>
        </w:rPr>
        <w:t xml:space="preserve">,</w:t>
      </w:r>
      <w:r>
        <w:rPr>
          <w:rStyle w:val="NormalTok"/>
        </w:rPr>
        <w:t xml:space="preserve"> Domain</w:t>
      </w:r>
      <w:r>
        <w:rPr>
          <w:rStyle w:val="OperatorTok"/>
        </w:rPr>
        <w:t xml:space="preserve">,</w:t>
      </w:r>
      <w:r>
        <w:rPr>
          <w:rStyle w:val="NormalTok"/>
        </w:rPr>
        <w:t xml:space="preserve"> Site</w:t>
      </w:r>
      <w:r>
        <w:rPr>
          <w:rStyle w:val="OperatorTok"/>
        </w:rPr>
        <w:t xml:space="preserve">,</w:t>
      </w:r>
      <w:r>
        <w:rPr>
          <w:rStyle w:val="NormalTok"/>
        </w:rPr>
        <w:t xml:space="preserve"> IPv4Address</w:t>
      </w:r>
      <w:r>
        <w:rPr>
          <w:rStyle w:val="OperatorTok"/>
        </w:rPr>
        <w:t xml:space="preserve">,</w:t>
      </w:r>
      <w:r>
        <w:br/>
      </w:r>
      <w:r>
        <w:rPr>
          <w:rStyle w:val="NormalTok"/>
        </w:rPr>
        <w:t xml:space="preserve">            OperatingSystem</w:t>
      </w:r>
      <w:r>
        <w:rPr>
          <w:rStyle w:val="OperatorTok"/>
        </w:rPr>
        <w:t xml:space="preserve">,</w:t>
      </w:r>
      <w:r>
        <w:rPr>
          <w:rStyle w:val="NormalTok"/>
        </w:rPr>
        <w:t xml:space="preserve"> IsGlobalCatalog</w:t>
      </w:r>
      <w:r>
        <w:rPr>
          <w:rStyle w:val="OperatorTok"/>
        </w:rPr>
        <w:t xml:space="preserve">,</w:t>
      </w:r>
      <w:r>
        <w:rPr>
          <w:rStyle w:val="NormalTok"/>
        </w:rPr>
        <w:t xml:space="preserve"> IsReadOnly</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'Roles'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OperationMasterRoles</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OperatorTok"/>
        </w:rPr>
        <w:t xml:space="preserve">}</w:t>
      </w:r>
    </w:p>
    <w:bookmarkEnd w:id="52"/>
    <w:bookmarkStart w:id="63" w:name="functional-levels"/>
    <w:p>
      <w:pPr>
        <w:pStyle w:val="Heading3"/>
      </w:pPr>
      <w:r>
        <w:t xml:space="preserve">Functional levels</w:t>
      </w:r>
    </w:p>
    <w:p>
      <w:pPr>
        <w:pStyle w:val="FirstParagraph"/>
      </w:pPr>
      <w:r>
        <w:t xml:space="preserve">Record the forest mode and every domain mode. The values tell you which domain controller operating systems the forest can accept and which features are available. The ActiveDirectory module’s</w:t>
      </w:r>
      <w:r>
        <w:t xml:space="preserve"> </w:t>
      </w:r>
      <w:r>
        <w:rPr>
          <w:rStyle w:val="VerbatimChar"/>
        </w:rPr>
        <w:t xml:space="preserve">ADForestMode</w:t>
      </w:r>
      <w:r>
        <w:t xml:space="preserve"> </w:t>
      </w:r>
      <w:r>
        <w:t xml:space="preserve">values now run up to</w:t>
      </w:r>
      <w:r>
        <w:t xml:space="preserve"> </w:t>
      </w:r>
      <w:r>
        <w:rPr>
          <w:rStyle w:val="VerbatimChar"/>
        </w:rPr>
        <w:t xml:space="preserve">Windows2025Forest</w:t>
      </w:r>
      <w:r>
        <w:t xml:space="preserve">.</w:t>
      </w:r>
      <w:r>
        <w:rPr>
          <w:rStyle w:val="FootnoteReference"/>
        </w:rPr>
        <w:footnoteReference w:id="53"/>
      </w:r>
      <w:r>
        <w:t xml:space="preserve"> </w:t>
      </w:r>
      <w:r>
        <w:t xml:space="preserve">The Windows Server 2025 functional level (DomainLevel and ForestLevel 10 in answer files) is the first new level since Windows Server 2016; Windows Server 2019 and 2022 didn’t add one.</w:t>
      </w:r>
      <w:r>
        <w:rPr>
          <w:rStyle w:val="FootnoteReference"/>
        </w:rPr>
        <w:footnoteReference w:id="55"/>
      </w:r>
      <w:r>
        <w:t xml:space="preserve"> </w:t>
      </w:r>
      <w:r>
        <w:t xml:space="preserve">It’s required for the optional 32k database page size feature, and only Windows Server 2025 domain controllers can run at it.</w:t>
      </w:r>
      <w:r>
        <w:rPr>
          <w:rStyle w:val="FootnoteReference"/>
        </w:rPr>
        <w:footnoteReference w:id="57"/>
      </w:r>
    </w:p>
    <w:p>
      <w:pPr>
        <w:pStyle w:val="BodyText"/>
      </w:pPr>
      <w:r>
        <w:t xml:space="preserve">The assessment should flag two conditions:</w:t>
      </w:r>
    </w:p>
    <w:p>
      <w:pPr>
        <w:pStyle w:val="Compact"/>
        <w:numPr>
          <w:ilvl w:val="0"/>
          <w:numId w:val="1002"/>
        </w:numPr>
      </w:pPr>
      <w:r>
        <w:rPr>
          <w:b/>
          <w:bCs/>
        </w:rPr>
        <w:t xml:space="preserve">A functional level below Windows Server 2016.</w:t>
      </w:r>
      <w:r>
        <w:t xml:space="preserve"> </w:t>
      </w:r>
      <w:r>
        <w:t xml:space="preserve">A Windows Server 2025 domain controller can join only a domain at the Windows Server 2016 functional level or higher, so a lower level blocks the domain controller refresh before any cloud work starts.</w:t>
      </w:r>
      <w:r>
        <w:rPr>
          <w:rStyle w:val="FootnoteReference"/>
        </w:rPr>
        <w:footnoteReference w:id="59"/>
      </w:r>
    </w:p>
    <w:p>
      <w:pPr>
        <w:pStyle w:val="Compact"/>
        <w:numPr>
          <w:ilvl w:val="0"/>
          <w:numId w:val="1002"/>
        </w:numPr>
      </w:pPr>
      <w:r>
        <w:rPr>
          <w:b/>
          <w:bCs/>
        </w:rPr>
        <w:t xml:space="preserve">Mixed domain levels across the forest.</w:t>
      </w:r>
      <w:r>
        <w:t xml:space="preserve"> </w:t>
      </w:r>
      <w:r>
        <w:t xml:space="preserve">If every domain controller in the forest runs Windows Server 2025, raising the forest level to Windows Server 2025 raises every domain with it.</w:t>
      </w:r>
      <w:r>
        <w:rPr>
          <w:rStyle w:val="FootnoteReference"/>
        </w:rPr>
        <w:footnoteReference w:id="61"/>
      </w:r>
    </w:p>
    <w:bookmarkEnd w:id="63"/>
    <w:bookmarkStart w:id="66" w:name="sites-site-links-and-subnets"/>
    <w:p>
      <w:pPr>
        <w:pStyle w:val="Heading3"/>
      </w:pPr>
      <w:r>
        <w:t xml:space="preserve">Sites, site links and subnets</w:t>
      </w:r>
    </w:p>
    <w:p>
      <w:pPr>
        <w:pStyle w:val="FirstParagraph"/>
      </w:pPr>
      <w:r>
        <w:rPr>
          <w:rStyle w:val="VerbatimChar"/>
        </w:rPr>
        <w:t xml:space="preserve">Get-ADReplicationSite</w:t>
      </w:r>
      <w:r>
        <w:t xml:space="preserve">,</w:t>
      </w:r>
      <w:r>
        <w:t xml:space="preserve"> </w:t>
      </w:r>
      <w:r>
        <w:rPr>
          <w:rStyle w:val="VerbatimChar"/>
        </w:rPr>
        <w:t xml:space="preserve">Get-ADReplicationSiteLink</w:t>
      </w:r>
      <w:r>
        <w:t xml:space="preserve"> </w:t>
      </w:r>
      <w:r>
        <w:t xml:space="preserve">and</w:t>
      </w:r>
      <w:r>
        <w:t xml:space="preserve"> </w:t>
      </w:r>
      <w:r>
        <w:rPr>
          <w:rStyle w:val="VerbatimChar"/>
        </w:rPr>
        <w:t xml:space="preserve">Get-ADReplicationSubnet</w:t>
      </w:r>
      <w:r>
        <w:t xml:space="preserve"> </w:t>
      </w:r>
      <w:r>
        <w:t xml:space="preserve">capture the replication topology and the subnet-to-site map.</w:t>
      </w:r>
      <w:r>
        <w:rPr>
          <w:rStyle w:val="FootnoteReference"/>
        </w:rPr>
        <w:footnoteReference w:id="64"/>
      </w:r>
      <w:r>
        <w:t xml:space="preserve"> </w:t>
      </w:r>
      <w:r>
        <w:t xml:space="preserve">The subnet map matters beyond replication: domain controller location for clients depends on it, and an unmapped subnet sends clients to arbitrary domain controllers. Record site link cost and replication interval; they explain authentication latency at remote sites better than any network diagram.</w:t>
      </w:r>
    </w:p>
    <w:p>
      <w:pPr>
        <w:pStyle w:val="BodyText"/>
      </w:pPr>
      <w:r>
        <w:rPr>
          <w:rStyle w:val="VerbatimChar"/>
        </w:rPr>
        <w:t xml:space="preserve">Get-FMPForestTopology</w:t>
      </w:r>
      <w:r>
        <w:t xml:space="preserve"> </w:t>
      </w:r>
      <w:r>
        <w:t xml:space="preserve">combines all of this into one</w:t>
      </w:r>
      <w:r>
        <w:t xml:space="preserve"> </w:t>
      </w:r>
      <w:r>
        <w:rPr>
          <w:rStyle w:val="VerbatimChar"/>
        </w:rPr>
        <w:t xml:space="preserve">ForestTopology.json</w:t>
      </w:r>
      <w:r>
        <w:t xml:space="preserve"> </w:t>
      </w:r>
      <w:r>
        <w:t xml:space="preserve">with a timestamp.</w:t>
      </w:r>
    </w:p>
    <w:bookmarkEnd w:id="66"/>
    <w:bookmarkEnd w:id="67"/>
    <w:bookmarkStart w:id="75" w:name="ou-hierarchy-and-delegation"/>
    <w:p>
      <w:pPr>
        <w:pStyle w:val="Heading2"/>
      </w:pPr>
      <w:r>
        <w:t xml:space="preserve">OU hierarchy and delegation</w:t>
      </w:r>
    </w:p>
    <w:p>
      <w:pPr>
        <w:pStyle w:val="FirstParagraph"/>
      </w:pPr>
      <w:hyperlink r:id="rId68">
        <w:r>
          <w:rPr>
            <w:rStyle w:val="Hyperlink"/>
          </w:rPr>
          <w:t xml:space="preserve">Chapter 05</w:t>
        </w:r>
      </w:hyperlink>
      <w:r>
        <w:t xml:space="preserve"> </w:t>
      </w:r>
      <w:r>
        <w:t xml:space="preserve">explains why the OU tree is the delegation model in Active Directory, and why Entra ID has none. The assessment’s job is to capture what the tree actually encodes, so that the attribute design in</w:t>
      </w:r>
      <w:r>
        <w:t xml:space="preserve"> </w:t>
      </w:r>
      <w:hyperlink r:id="rId14">
        <w:r>
          <w:rPr>
            <w:rStyle w:val="Hyperlink"/>
          </w:rPr>
          <w:t xml:space="preserve">Chapter 09</w:t>
        </w:r>
      </w:hyperlink>
      <w:r>
        <w:t xml:space="preserve"> </w:t>
      </w:r>
      <w:r>
        <w:t xml:space="preserve">reproduces intent rather than structure.</w:t>
      </w:r>
    </w:p>
    <w:p>
      <w:pPr>
        <w:pStyle w:val="BodyText"/>
      </w:pPr>
      <w:r>
        <w:t xml:space="preserve">Extract four things for every OU:</w:t>
      </w:r>
    </w:p>
    <w:p>
      <w:pPr>
        <w:pStyle w:val="Compact"/>
        <w:numPr>
          <w:ilvl w:val="0"/>
          <w:numId w:val="1003"/>
        </w:numPr>
      </w:pPr>
      <w:r>
        <w:rPr>
          <w:b/>
          <w:bCs/>
        </w:rPr>
        <w:t xml:space="preserve">Placement and size.</w:t>
      </w:r>
      <w:r>
        <w:t xml:space="preserve"> </w:t>
      </w:r>
      <w:r>
        <w:t xml:space="preserve">Distinguished name, depth, description,</w:t>
      </w:r>
      <w:r>
        <w:t xml:space="preserve"> </w:t>
      </w:r>
      <w:r>
        <w:rPr>
          <w:rStyle w:val="VerbatimChar"/>
        </w:rPr>
        <w:t xml:space="preserve">ManagedBy</w:t>
      </w:r>
      <w:r>
        <w:t xml:space="preserve">, protection from accidental deletion, and direct counts of users, computers and groups. A recursive builder produces a nested</w:t>
      </w:r>
      <w:r>
        <w:t xml:space="preserve"> </w:t>
      </w:r>
      <w:r>
        <w:rPr>
          <w:rStyle w:val="VerbatimChar"/>
        </w:rPr>
        <w:t xml:space="preserve">OUHierarchy.json</w:t>
      </w:r>
      <w:r>
        <w:t xml:space="preserve">; a flat CSV goes to spreadsheet review.</w:t>
      </w:r>
    </w:p>
    <w:p>
      <w:pPr>
        <w:pStyle w:val="Compact"/>
        <w:numPr>
          <w:ilvl w:val="0"/>
          <w:numId w:val="1003"/>
        </w:numPr>
      </w:pPr>
      <w:r>
        <w:rPr>
          <w:b/>
          <w:bCs/>
        </w:rPr>
        <w:t xml:space="preserve">GPO links.</w:t>
      </w:r>
      <w:r>
        <w:t xml:space="preserve"> </w:t>
      </w:r>
      <w:r>
        <w:t xml:space="preserve">Linked GPOs with link order, enforcement and enabled state, and whether the OU blocks inheritance.</w:t>
      </w:r>
    </w:p>
    <w:p>
      <w:pPr>
        <w:pStyle w:val="Compact"/>
        <w:numPr>
          <w:ilvl w:val="0"/>
          <w:numId w:val="1003"/>
        </w:numPr>
      </w:pPr>
      <w:r>
        <w:rPr>
          <w:b/>
          <w:bCs/>
        </w:rPr>
        <w:t xml:space="preserve">Delegated permissions.</w:t>
      </w:r>
      <w:r>
        <w:t xml:space="preserve"> </w:t>
      </w:r>
      <w:r>
        <w:t xml:space="preserve">The non-inherited access control entries on the OU, excluding well-known built-in principals. These are the delegations someone made by hand, and they become the administrative unit and role assignment candidates in Chapter 05’s matrix.</w:t>
      </w:r>
    </w:p>
    <w:p>
      <w:pPr>
        <w:pStyle w:val="Compact"/>
        <w:numPr>
          <w:ilvl w:val="0"/>
          <w:numId w:val="1003"/>
        </w:numPr>
      </w:pPr>
      <w:r>
        <w:rPr>
          <w:b/>
          <w:bCs/>
        </w:rPr>
        <w:t xml:space="preserve">A text rendering</w:t>
      </w:r>
      <w:r>
        <w:t xml:space="preserve"> </w:t>
      </w:r>
      <w:r>
        <w:t xml:space="preserve">of the tree with object and GPO counts at each node, for human review.</w:t>
      </w:r>
    </w:p>
    <w:p>
      <w:pPr>
        <w:pStyle w:val="FirstParagraph"/>
      </w:pPr>
      <w:r>
        <w:t xml:space="preserve">For GPO links, prefer</w:t>
      </w:r>
      <w:r>
        <w:t xml:space="preserve"> </w:t>
      </w:r>
      <w:r>
        <w:rPr>
          <w:rStyle w:val="VerbatimChar"/>
        </w:rPr>
        <w:t xml:space="preserve">Get-GPInheritance</w:t>
      </w:r>
      <w:r>
        <w:t xml:space="preserve"> </w:t>
      </w:r>
      <w:r>
        <w:t xml:space="preserve">to parsing the raw attribute. It returns the GPOs linked directly to a domain or OU, the GPOs that actually apply in precedence order, and whether inheritance is blocked.</w:t>
      </w:r>
      <w:r>
        <w:rPr>
          <w:rStyle w:val="FootnoteReference"/>
        </w:rPr>
        <w:footnoteReference w:id="69"/>
      </w:r>
      <w:r>
        <w:t xml:space="preserve"> </w:t>
      </w:r>
      <w:r>
        <w:t xml:space="preserve">If you do parse</w:t>
      </w:r>
      <w:r>
        <w:t xml:space="preserve"> </w:t>
      </w:r>
      <w:r>
        <w:rPr>
          <w:rStyle w:val="VerbatimChar"/>
        </w:rPr>
        <w:t xml:space="preserve">gPLink</w:t>
      </w:r>
      <w:r>
        <w:t xml:space="preserve">, each link is a GPO path plus a</w:t>
      </w:r>
      <w:r>
        <w:t xml:space="preserve"> </w:t>
      </w:r>
      <w:r>
        <w:rPr>
          <w:rStyle w:val="VerbatimChar"/>
        </w:rPr>
        <w:t xml:space="preserve">linkOptions</w:t>
      </w:r>
      <w:r>
        <w:t xml:space="preserve"> </w:t>
      </w:r>
      <w:r>
        <w:t xml:space="preserve">bitmask:</w:t>
      </w:r>
      <w:r>
        <w:t xml:space="preserve"> </w:t>
      </w:r>
      <w:r>
        <w:rPr>
          <w:rStyle w:val="VerbatimChar"/>
        </w:rPr>
        <w:t xml:space="preserve">0x1</w:t>
      </w:r>
      <w:r>
        <w:t xml:space="preserve"> </w:t>
      </w:r>
      <w:r>
        <w:t xml:space="preserve">means the link is disabled and</w:t>
      </w:r>
      <w:r>
        <w:t xml:space="preserve"> </w:t>
      </w:r>
      <w:r>
        <w:rPr>
          <w:rStyle w:val="VerbatimChar"/>
        </w:rPr>
        <w:t xml:space="preserve">0x2</w:t>
      </w:r>
      <w:r>
        <w:t xml:space="preserve"> </w:t>
      </w:r>
      <w:r>
        <w:t xml:space="preserve">means it’s enforced.</w:t>
      </w:r>
      <w:r>
        <w:rPr>
          <w:rStyle w:val="FootnoteReference"/>
        </w:rPr>
        <w:footnoteReference w:id="71"/>
      </w:r>
      <w:r>
        <w:t xml:space="preserve"> </w:t>
      </w:r>
      <w:r>
        <w:t xml:space="preserve">Block inheritance is a property of the container, stored in its</w:t>
      </w:r>
      <w:r>
        <w:t xml:space="preserve"> </w:t>
      </w:r>
      <w:r>
        <w:rPr>
          <w:rStyle w:val="VerbatimChar"/>
        </w:rPr>
        <w:t xml:space="preserve">gPOptions</w:t>
      </w:r>
      <w:r>
        <w:t xml:space="preserve"> </w:t>
      </w:r>
      <w:r>
        <w:t xml:space="preserve">attribute; an enforced link still applies through a block.</w:t>
      </w:r>
      <w:r>
        <w:rPr>
          <w:rStyle w:val="FootnoteReference"/>
        </w:rPr>
        <w:footnoteReference w:id="73"/>
      </w:r>
      <w:r>
        <w:t xml:space="preserve"> </w:t>
      </w:r>
      <w:r>
        <w:t xml:space="preserve">Match GUIDs case-insensitively, because the</w:t>
      </w:r>
      <w:r>
        <w:t xml:space="preserve"> </w:t>
      </w:r>
      <w:r>
        <w:rPr>
          <w:rStyle w:val="VerbatimChar"/>
        </w:rPr>
        <w:t xml:space="preserve">cn=</w:t>
      </w:r>
      <w:r>
        <w:t xml:space="preserve"> </w:t>
      </w:r>
      <w:r>
        <w:t xml:space="preserve">and</w:t>
      </w:r>
      <w:r>
        <w:t xml:space="preserve"> </w:t>
      </w:r>
      <w:r>
        <w:rPr>
          <w:rStyle w:val="VerbatimChar"/>
        </w:rPr>
        <w:t xml:space="preserve">CN=</w:t>
      </w:r>
      <w:r>
        <w:t xml:space="preserve"> </w:t>
      </w:r>
      <w:r>
        <w:t xml:space="preserve">spellings both occur.</w:t>
      </w:r>
    </w:p>
    <w:p>
      <w:pPr>
        <w:pStyle w:val="SourceCode"/>
      </w:pP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VariableTok"/>
        </w:rPr>
        <w:t xml:space="preserve">$som</w:t>
      </w:r>
      <w:r>
        <w:rPr>
          <w:rStyle w:val="NormalTok"/>
        </w:rPr>
        <w:t xml:space="preserve"> </w:t>
      </w:r>
      <w:r>
        <w:rPr>
          <w:rStyle w:val="OperatorTok"/>
        </w:rPr>
        <w:t xml:space="preserve">=</w:t>
      </w:r>
      <w:r>
        <w:rPr>
          <w:rStyle w:val="NormalTok"/>
        </w:rPr>
        <w:t xml:space="preserve"> </w:t>
      </w:r>
      <w:r>
        <w:rPr>
          <w:rStyle w:val="FunctionTok"/>
        </w:rPr>
        <w:t xml:space="preserve">Get-GPInheritance</w:t>
      </w:r>
      <w:r>
        <w:rPr>
          <w:rStyle w:val="NormalTok"/>
        </w:rPr>
        <w:t xml:space="preserve"> </w:t>
      </w:r>
      <w:r>
        <w:rPr>
          <w:rStyle w:val="OperatorTok"/>
        </w:rPr>
        <w:t xml:space="preserve">-</w:t>
      </w:r>
      <w:r>
        <w:rPr>
          <w:rStyle w:val="NormalTok"/>
        </w:rPr>
        <w:t xml:space="preserve">Target </w:t>
      </w:r>
      <w:r>
        <w:rPr>
          <w:rStyle w:val="VariableTok"/>
        </w:rPr>
        <w:t xml:space="preserve">$_</w:t>
      </w:r>
      <w:r>
        <w:rPr>
          <w:rStyle w:val="OperatorTok"/>
        </w:rPr>
        <w:t xml:space="preserve">.</w:t>
      </w:r>
      <w:r>
        <w:rPr>
          <w:rStyle w:val="FunctionTok"/>
        </w:rPr>
        <w:t xml:space="preserve">DistinguishedName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OU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DistinguishedName</w:t>
      </w:r>
      <w:r>
        <w:br/>
      </w:r>
      <w:r>
        <w:rPr>
          <w:rStyle w:val="NormalTok"/>
        </w:rPr>
        <w:t xml:space="preserve">        InheritanceBlocked </w:t>
      </w:r>
      <w:r>
        <w:rPr>
          <w:rStyle w:val="OperatorTok"/>
        </w:rPr>
        <w:t xml:space="preserve">=</w:t>
      </w:r>
      <w:r>
        <w:rPr>
          <w:rStyle w:val="NormalTok"/>
        </w:rPr>
        <w:t xml:space="preserve"> </w:t>
      </w:r>
      <w:r>
        <w:rPr>
          <w:rStyle w:val="VariableTok"/>
        </w:rPr>
        <w:t xml:space="preserve">$som</w:t>
      </w:r>
      <w:r>
        <w:rPr>
          <w:rStyle w:val="OperatorTok"/>
        </w:rPr>
        <w:t xml:space="preserve">.</w:t>
      </w:r>
      <w:r>
        <w:rPr>
          <w:rStyle w:val="FunctionTok"/>
        </w:rPr>
        <w:t xml:space="preserve">GpoInheritanceBlocked</w:t>
      </w:r>
      <w:r>
        <w:br/>
      </w:r>
      <w:r>
        <w:rPr>
          <w:rStyle w:val="NormalTok"/>
        </w:rPr>
        <w:t xml:space="preserve">        Links              </w:t>
      </w:r>
      <w:r>
        <w:rPr>
          <w:rStyle w:val="OperatorTok"/>
        </w:rPr>
        <w:t xml:space="preserve">=</w:t>
      </w:r>
      <w:r>
        <w:rPr>
          <w:rStyle w:val="NormalTok"/>
        </w:rPr>
        <w:t xml:space="preserve"> </w:t>
      </w:r>
      <w:r>
        <w:rPr>
          <w:rStyle w:val="VariableTok"/>
        </w:rPr>
        <w:t xml:space="preserve">$som</w:t>
      </w:r>
      <w:r>
        <w:rPr>
          <w:rStyle w:val="OperatorTok"/>
        </w:rPr>
        <w:t xml:space="preserve">.</w:t>
      </w:r>
      <w:r>
        <w:rPr>
          <w:rStyle w:val="FunctionTok"/>
        </w:rPr>
        <w:t xml:space="preserve">GpoLinks</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DisplayName</w:t>
      </w:r>
      <w:r>
        <w:rPr>
          <w:rStyle w:val="OperatorTok"/>
        </w:rPr>
        <w:t xml:space="preserve">,</w:t>
      </w:r>
      <w:r>
        <w:rPr>
          <w:rStyle w:val="NormalTok"/>
        </w:rPr>
        <w:t xml:space="preserve"> GpoId</w:t>
      </w:r>
      <w:r>
        <w:rPr>
          <w:rStyle w:val="OperatorTok"/>
        </w:rPr>
        <w:t xml:space="preserve">,</w:t>
      </w:r>
      <w:r>
        <w:rPr>
          <w:rStyle w:val="NormalTok"/>
        </w:rPr>
        <w:t xml:space="preserve"> Enabled</w:t>
      </w:r>
      <w:r>
        <w:rPr>
          <w:rStyle w:val="OperatorTok"/>
        </w:rPr>
        <w:t xml:space="preserve">,</w:t>
      </w:r>
      <w:r>
        <w:rPr>
          <w:rStyle w:val="NormalTok"/>
        </w:rPr>
        <w:t xml:space="preserve"> Enforced</w:t>
      </w:r>
      <w:r>
        <w:rPr>
          <w:rStyle w:val="OperatorTok"/>
        </w:rPr>
        <w:t xml:space="preserve">,</w:t>
      </w:r>
      <w:r>
        <w:rPr>
          <w:rStyle w:val="NormalTok"/>
        </w:rPr>
        <w:t xml:space="preserve"> Order</w:t>
      </w:r>
      <w:r>
        <w:br/>
      </w:r>
      <w:r>
        <w:rPr>
          <w:rStyle w:val="NormalTok"/>
        </w:rPr>
        <w:t xml:space="preserve">    </w:t>
      </w:r>
      <w:r>
        <w:rPr>
          <w:rStyle w:val="OperatorTok"/>
        </w:rPr>
        <w:t xml:space="preserve">}</w:t>
      </w:r>
      <w:r>
        <w:br/>
      </w:r>
      <w:r>
        <w:rPr>
          <w:rStyle w:val="OperatorTok"/>
        </w:rPr>
        <w:t xml:space="preserve">}</w:t>
      </w:r>
    </w:p>
    <w:p>
      <w:pPr>
        <w:pStyle w:val="FirstParagraph"/>
      </w:pPr>
      <w:r>
        <w:t xml:space="preserve">OU delegation analysis reads ACLs through the</w:t>
      </w:r>
      <w:r>
        <w:t xml:space="preserve"> </w:t>
      </w:r>
      <w:r>
        <w:rPr>
          <w:rStyle w:val="VerbatimChar"/>
        </w:rPr>
        <w:t xml:space="preserve">AD:</w:t>
      </w:r>
      <w:r>
        <w:t xml:space="preserve"> </w:t>
      </w:r>
      <w:r>
        <w:t xml:space="preserve">drive, which the ActiveDirectory module provides. Keep only entries where</w:t>
      </w:r>
      <w:r>
        <w:t xml:space="preserve"> </w:t>
      </w:r>
      <w:r>
        <w:rPr>
          <w:rStyle w:val="VerbatimChar"/>
        </w:rPr>
        <w:t xml:space="preserve">IsInherited</w:t>
      </w:r>
      <w:r>
        <w:t xml:space="preserve"> </w:t>
      </w:r>
      <w:r>
        <w:t xml:space="preserve">is false, and drop</w:t>
      </w:r>
      <w:r>
        <w:t xml:space="preserve"> </w:t>
      </w:r>
      <w:r>
        <w:rPr>
          <w:rStyle w:val="VerbatimChar"/>
        </w:rPr>
        <w:t xml:space="preserve">NT AUTHORITY</w:t>
      </w:r>
      <w:r>
        <w:t xml:space="preserve">,</w:t>
      </w:r>
      <w:r>
        <w:t xml:space="preserve"> </w:t>
      </w:r>
      <w:r>
        <w:rPr>
          <w:rStyle w:val="VerbatimChar"/>
        </w:rPr>
        <w:t xml:space="preserve">BUILTIN</w:t>
      </w:r>
      <w:r>
        <w:t xml:space="preserve"> </w:t>
      </w:r>
      <w:r>
        <w:t xml:space="preserve">and well-known SIDs. What remains is usually short, and it’s the most valuable list in the OU export.</w:t>
      </w:r>
    </w:p>
    <w:bookmarkEnd w:id="75"/>
    <w:bookmarkStart w:id="92" w:name="group-policy-inventory-and-analysis"/>
    <w:p>
      <w:pPr>
        <w:pStyle w:val="Heading2"/>
      </w:pPr>
      <w:r>
        <w:t xml:space="preserve">Group Policy inventory and analysis</w:t>
      </w:r>
    </w:p>
    <w:p>
      <w:pPr>
        <w:pStyle w:val="FirstParagraph"/>
      </w:pPr>
      <w:r>
        <w:t xml:space="preserve">The GPO inventory is the largest and most consequential artifact for modernization. Every live setting either moves to Intune, moves somewhere else, or is retired, and nobody can decide which without the inventory.</w:t>
      </w:r>
    </w:p>
    <w:tbl>
      <w:tblPr>
        <w:tblStyle w:val="Table"/>
        <w:tblW w:type="pct" w:w="5000"/>
        <w:tblLayout w:type="fixed"/>
        <w:tblLook w:firstRow="0" w:lastRow="0" w:firstColumn="0" w:lastColumn="0" w:noHBand="0" w:noVBand="0" w:val="0000"/>
      </w:tblPr>
      <w:tblGrid>
        <w:gridCol w:w="7920"/>
      </w:tblGrid>
      <w:tr>
        <w:tc>
          <w:tcPr/>
          <w:bookmarkStart w:id="79" w:name="fig-ch08-gpo-analysis"/>
          <w:p>
            <w:pPr>
              <w:pStyle w:val="Compact"/>
              <w:jc w:val="center"/>
            </w:pPr>
            <w:r>
              <w:drawing>
                <wp:inline>
                  <wp:extent cx="5334000" cy="2176717"/>
                  <wp:effectExtent b="0" l="0" r="0" t="0"/>
                  <wp:docPr descr="" title="" id="77" name="Picture"/>
                  <a:graphic>
                    <a:graphicData uri="http://schemas.openxmlformats.org/drawingml/2006/picture">
                      <pic:pic>
                        <pic:nvPicPr>
                          <pic:cNvPr descr="../../images/diagrams/b02-identity/svg/ch08-gpo-analysis.sv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bwMode="auto">
                          <a:xfrm>
                            <a:off x="0" y="0"/>
                            <a:ext cx="5334000" cy="2176717"/>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GPO analysis flow: inventory, reports and links feed three classifications, and only live settings go on to Intune analysis.</w:t>
            </w:r>
          </w:p>
          <w:bookmarkEnd w:id="79"/>
        </w:tc>
      </w:tr>
    </w:tbl>
    <w:bookmarkStart w:id="86" w:name="what-to-collect"/>
    <w:p>
      <w:pPr>
        <w:pStyle w:val="Heading3"/>
      </w:pPr>
      <w:r>
        <w:t xml:space="preserve">What to collect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Cmdlet</w:t>
            </w:r>
          </w:p>
        </w:tc>
        <w:tc>
          <w:tcPr/>
          <w:p>
            <w:pPr>
              <w:pStyle w:val="Compact"/>
            </w:pPr>
            <w:r>
              <w:t xml:space="preserve">Output</w:t>
            </w:r>
          </w:p>
        </w:tc>
      </w:tr>
      <w:tr>
        <w:tc>
          <w:tcPr/>
          <w:p>
            <w:pPr>
              <w:pStyle w:val="Compact"/>
            </w:pPr>
            <w:r>
              <w:t xml:space="preserve">Enumerate</w:t>
            </w:r>
          </w:p>
        </w:tc>
        <w:tc>
          <w:tcPr/>
          <w:p>
            <w:pPr>
              <w:pStyle w:val="Compact"/>
            </w:pPr>
            <w:r>
              <w:rPr>
                <w:rStyle w:val="VerbatimChar"/>
              </w:rPr>
              <w:t xml:space="preserve">Get-GPO -All</w:t>
            </w:r>
          </w:p>
        </w:tc>
        <w:tc>
          <w:tcPr/>
          <w:p>
            <w:pPr>
              <w:pStyle w:val="Compact"/>
            </w:pPr>
            <w:r>
              <w:t xml:space="preserve">Name, GUID,</w:t>
            </w:r>
            <w:r>
              <w:t xml:space="preserve"> </w:t>
            </w:r>
            <w:r>
              <w:rPr>
                <w:rStyle w:val="VerbatimChar"/>
              </w:rPr>
              <w:t xml:space="preserve">GpoStatus</w:t>
            </w:r>
            <w:r>
              <w:t xml:space="preserve">, created and modified times, owner, WMI filter</w:t>
            </w:r>
          </w:p>
        </w:tc>
      </w:tr>
      <w:tr>
        <w:tc>
          <w:tcPr/>
          <w:p>
            <w:pPr>
              <w:pStyle w:val="Compact"/>
            </w:pPr>
            <w:r>
              <w:t xml:space="preserve">Report</w:t>
            </w:r>
          </w:p>
        </w:tc>
        <w:tc>
          <w:tcPr/>
          <w:p>
            <w:pPr>
              <w:pStyle w:val="Compact"/>
            </w:pPr>
            <w:r>
              <w:rPr>
                <w:rStyle w:val="VerbatimChar"/>
              </w:rPr>
              <w:t xml:space="preserve">Get-GPOReport -Guid &lt;id&gt; -ReportType Xml</w:t>
            </w:r>
            <w:r>
              <w:t xml:space="preserve"> </w:t>
            </w:r>
            <w:r>
              <w:t xml:space="preserve">and</w:t>
            </w:r>
            <w:r>
              <w:t xml:space="preserve"> </w:t>
            </w:r>
            <w:r>
              <w:rPr>
                <w:rStyle w:val="VerbatimChar"/>
              </w:rPr>
              <w:t xml:space="preserve">Html</w:t>
            </w:r>
          </w:p>
        </w:tc>
        <w:tc>
          <w:tcPr/>
          <w:p>
            <w:pPr>
              <w:pStyle w:val="Compact"/>
            </w:pPr>
            <w:r>
              <w:t xml:space="preserve">One XML and one HTML file per GPO</w:t>
            </w:r>
          </w:p>
        </w:tc>
      </w:tr>
      <w:tr>
        <w:tc>
          <w:tcPr/>
          <w:p>
            <w:pPr>
              <w:pStyle w:val="Compact"/>
            </w:pPr>
            <w:r>
              <w:t xml:space="preserve">Links</w:t>
            </w:r>
          </w:p>
        </w:tc>
        <w:tc>
          <w:tcPr/>
          <w:p>
            <w:pPr>
              <w:pStyle w:val="Compact"/>
            </w:pPr>
            <w:r>
              <w:rPr>
                <w:rStyle w:val="VerbatimChar"/>
              </w:rPr>
              <w:t xml:space="preserve">Get-GPInheritance</w:t>
            </w:r>
            <w:r>
              <w:t xml:space="preserve"> </w:t>
            </w:r>
            <w:r>
              <w:t xml:space="preserve">per domain and OU, plus site links</w:t>
            </w:r>
          </w:p>
        </w:tc>
        <w:tc>
          <w:tcPr/>
          <w:p>
            <w:pPr>
              <w:pStyle w:val="Compact"/>
            </w:pPr>
            <w:r>
              <w:rPr>
                <w:rStyle w:val="VerbatimChar"/>
              </w:rPr>
              <w:t xml:space="preserve">GPOLinks.json</w:t>
            </w:r>
            <w:r>
              <w:t xml:space="preserve"> </w:t>
            </w:r>
            <w:r>
              <w:t xml:space="preserve">with order, enforced and enabled</w:t>
            </w:r>
          </w:p>
        </w:tc>
      </w:tr>
      <w:tr>
        <w:tc>
          <w:tcPr/>
          <w:p>
            <w:pPr>
              <w:pStyle w:val="Compact"/>
            </w:pPr>
            <w:r>
              <w:t xml:space="preserve">Permissions</w:t>
            </w:r>
          </w:p>
        </w:tc>
        <w:tc>
          <w:tcPr/>
          <w:p>
            <w:pPr>
              <w:pStyle w:val="Compact"/>
            </w:pPr>
            <w:r>
              <w:rPr>
                <w:rStyle w:val="VerbatimChar"/>
              </w:rPr>
              <w:t xml:space="preserve">Get-GPPermission -Guid &lt;id&gt; -All</w:t>
            </w:r>
          </w:p>
        </w:tc>
        <w:tc>
          <w:tcPr/>
          <w:p>
            <w:pPr>
              <w:pStyle w:val="Compact"/>
            </w:pPr>
            <w:r>
              <w:t xml:space="preserve">Who can edit, apply and read each GPO</w:t>
            </w:r>
          </w:p>
        </w:tc>
      </w:tr>
      <w:tr>
        <w:tc>
          <w:tcPr/>
          <w:p>
            <w:pPr>
              <w:pStyle w:val="Compact"/>
            </w:pPr>
            <w:r>
              <w:t xml:space="preserve">Backup</w:t>
            </w:r>
          </w:p>
        </w:tc>
        <w:tc>
          <w:tcPr/>
          <w:p>
            <w:pPr>
              <w:pStyle w:val="Compact"/>
            </w:pPr>
            <w:r>
              <w:rPr>
                <w:rStyle w:val="VerbatimChar"/>
              </w:rPr>
              <w:t xml:space="preserve">Backup-GPO -All -Path &lt;folder&gt;</w:t>
            </w:r>
          </w:p>
        </w:tc>
        <w:tc>
          <w:tcPr/>
          <w:p>
            <w:pPr>
              <w:pStyle w:val="Compact"/>
            </w:pPr>
            <w:r>
              <w:t xml:space="preserve">A native backup for rollback</w:t>
            </w:r>
          </w:p>
        </w:tc>
      </w:tr>
    </w:tbl>
    <w:p>
      <w:pPr>
        <w:pStyle w:val="BodyText"/>
      </w:pPr>
      <w:r>
        <w:t xml:space="preserve">All five cmdlets are in the GroupPolicy module.</w:t>
      </w:r>
      <w:r>
        <w:rPr>
          <w:rStyle w:val="FootnoteReference"/>
        </w:rPr>
        <w:footnoteReference w:id="80"/>
      </w:r>
      <w:r>
        <w:t xml:space="preserve"> </w:t>
      </w:r>
      <w:r>
        <w:rPr>
          <w:rStyle w:val="VerbatimChar"/>
        </w:rPr>
        <w:t xml:space="preserve">Get-GPOReport</w:t>
      </w:r>
      <w:r>
        <w:t xml:space="preserve"> </w:t>
      </w:r>
      <w:r>
        <w:t xml:space="preserve">produces XML or HTML, and its report includes links, security filtering, WMI filtering, delegation and the computer and user configuration of the GPO.</w:t>
      </w:r>
      <w:r>
        <w:rPr>
          <w:rStyle w:val="FootnoteReference"/>
        </w:rPr>
        <w:footnoteReference w:id="82"/>
      </w:r>
      <w:r>
        <w:t xml:space="preserve"> </w:t>
      </w:r>
      <w:r>
        <w:rPr>
          <w:rStyle w:val="VerbatimChar"/>
        </w:rPr>
        <w:t xml:space="preserve">Get-GPPermission -All</w:t>
      </w:r>
      <w:r>
        <w:t xml:space="preserve"> </w:t>
      </w:r>
      <w:r>
        <w:t xml:space="preserve">returns the permission level of every principal that has permissions on the GPO.</w:t>
      </w:r>
      <w:r>
        <w:rPr>
          <w:rStyle w:val="FootnoteReference"/>
        </w:rPr>
        <w:footnoteReference w:id="84"/>
      </w:r>
    </w:p>
    <w:p>
      <w:pPr>
        <w:pStyle w:val="BodyText"/>
      </w:pPr>
      <w:r>
        <w:t xml:space="preserve">The source link analysis searched only OUs and the domain root. GPOs can also be linked to sites, and a site-linked GPO looks unlinked to an OU-only search. Include the site objects in the configuration partition, or the</w:t>
      </w:r>
      <w:r>
        <w:t xml:space="preserve"> </w:t>
      </w:r>
      <w:r>
        <w:t xml:space="preserve">“unlinked”</w:t>
      </w:r>
      <w:r>
        <w:t xml:space="preserve"> </w:t>
      </w:r>
      <w:r>
        <w:t xml:space="preserve">list will contain GPOs that are in use.</w:t>
      </w:r>
    </w:p>
    <w:bookmarkEnd w:id="86"/>
    <w:bookmarkStart w:id="91" w:name="classify-before-you-migrate"/>
    <w:p>
      <w:pPr>
        <w:pStyle w:val="Heading3"/>
      </w:pPr>
      <w:r>
        <w:t xml:space="preserve">Classify before you migrate</w:t>
      </w:r>
    </w:p>
    <w:p>
      <w:pPr>
        <w:pStyle w:val="FirstParagraph"/>
      </w:pPr>
      <w:r>
        <w:t xml:space="preserve">Decompose each XML report by configuration area: security settings, administrative templates, preferences, scripts, software installation and folder redirection, separately for the computer and user halves. Then sort GPOs into three groups:</w:t>
      </w:r>
    </w:p>
    <w:p>
      <w:pPr>
        <w:pStyle w:val="Compact"/>
        <w:numPr>
          <w:ilvl w:val="0"/>
          <w:numId w:val="1004"/>
        </w:numPr>
      </w:pPr>
      <w:r>
        <w:rPr>
          <w:b/>
          <w:bCs/>
        </w:rPr>
        <w:t xml:space="preserve">Unlinked or empty.</w:t>
      </w:r>
      <w:r>
        <w:t xml:space="preserve"> </w:t>
      </w:r>
      <w:r>
        <w:t xml:space="preserve">No links anywhere, or no settings in either half. These are retirement candidates. An empty GPO is one whose report has no</w:t>
      </w:r>
      <w:r>
        <w:t xml:space="preserve"> </w:t>
      </w:r>
      <w:r>
        <w:rPr>
          <w:rStyle w:val="VerbatimChar"/>
        </w:rPr>
        <w:t xml:space="preserve">ExtensionData</w:t>
      </w:r>
      <w:r>
        <w:t xml:space="preserve"> </w:t>
      </w:r>
      <w:r>
        <w:t xml:space="preserve">under either</w:t>
      </w:r>
      <w:r>
        <w:t xml:space="preserve"> </w:t>
      </w:r>
      <w:r>
        <w:rPr>
          <w:rStyle w:val="VerbatimChar"/>
        </w:rPr>
        <w:t xml:space="preserve">Computer</w:t>
      </w:r>
      <w:r>
        <w:t xml:space="preserve"> </w:t>
      </w:r>
      <w:r>
        <w:t xml:space="preserve">or</w:t>
      </w:r>
      <w:r>
        <w:t xml:space="preserve"> </w:t>
      </w:r>
      <w:r>
        <w:rPr>
          <w:rStyle w:val="VerbatimChar"/>
        </w:rPr>
        <w:t xml:space="preserve">User</w:t>
      </w:r>
      <w:r>
        <w:t xml:space="preserve">.</w:t>
      </w:r>
    </w:p>
    <w:p>
      <w:pPr>
        <w:pStyle w:val="Compact"/>
        <w:numPr>
          <w:ilvl w:val="0"/>
          <w:numId w:val="1004"/>
        </w:numPr>
      </w:pPr>
      <w:r>
        <w:rPr>
          <w:b/>
          <w:bCs/>
        </w:rPr>
        <w:t xml:space="preserve">Overlapping.</w:t>
      </w:r>
      <w:r>
        <w:t xml:space="preserve"> </w:t>
      </w:r>
      <w:r>
        <w:t xml:space="preserve">The same setting configured in more than one GPO. Find these before migration, because Intune’s migration step refuses conflicting values and asks you to pick one.</w:t>
      </w:r>
      <w:r>
        <w:rPr>
          <w:rStyle w:val="FootnoteReference"/>
        </w:rPr>
        <w:footnoteReference w:id="87"/>
      </w:r>
    </w:p>
    <w:p>
      <w:pPr>
        <w:pStyle w:val="Compact"/>
        <w:numPr>
          <w:ilvl w:val="0"/>
          <w:numId w:val="1004"/>
        </w:numPr>
      </w:pPr>
      <w:r>
        <w:rPr>
          <w:b/>
          <w:bCs/>
        </w:rPr>
        <w:t xml:space="preserve">Live.</w:t>
      </w:r>
      <w:r>
        <w:t xml:space="preserve"> </w:t>
      </w:r>
      <w:r>
        <w:t xml:space="preserve">Linked, enabled, non-empty settings that need a decision.</w:t>
      </w:r>
    </w:p>
    <w:p>
      <w:pPr>
        <w:pStyle w:val="FirstParagraph"/>
      </w:pPr>
      <w:r>
        <w:t xml:space="preserve">Intune’s Group Policy analytics imports GPOs as XML reports, shows which settings have an MDM equivalent, and can build a Settings Catalog policy from the supported settings. Each imported file must be under 4 MB with proper Unicode encoding.</w:t>
      </w:r>
      <w:r>
        <w:rPr>
          <w:rStyle w:val="FootnoteReference"/>
        </w:rPr>
        <w:footnoteReference w:id="89"/>
      </w:r>
      <w:r>
        <w:t xml:space="preserve"> </w:t>
      </w:r>
      <w:r>
        <w:t xml:space="preserve">The</w:t>
      </w:r>
      <w:r>
        <w:t xml:space="preserve"> </w:t>
      </w:r>
      <w:r>
        <w:rPr>
          <w:rStyle w:val="VerbatimChar"/>
        </w:rPr>
        <w:t xml:space="preserve">&lt;GUID&gt;.xml</w:t>
      </w:r>
      <w:r>
        <w:t xml:space="preserve"> </w:t>
      </w:r>
      <w:r>
        <w:t xml:space="preserve">reports from this collector are the input; check their sizes in the manifest before importing.</w:t>
      </w:r>
    </w:p>
    <w:p>
      <w:pPr>
        <w:pStyle w:val="BodyText"/>
      </w:pPr>
      <w:r>
        <w:t xml:space="preserve">The full functions (</w:t>
      </w:r>
      <w:r>
        <w:rPr>
          <w:rStyle w:val="VerbatimChar"/>
        </w:rPr>
        <w:t xml:space="preserve">Get-FMPGPOInventory</w:t>
      </w:r>
      <w:r>
        <w:t xml:space="preserve">,</w:t>
      </w:r>
      <w:r>
        <w:t xml:space="preserve"> </w:t>
      </w:r>
      <w:r>
        <w:rPr>
          <w:rStyle w:val="VerbatimChar"/>
        </w:rPr>
        <w:t xml:space="preserve">Export-FMPGPOSettings</w:t>
      </w:r>
      <w:r>
        <w:t xml:space="preserve">,</w:t>
      </w:r>
      <w:r>
        <w:t xml:space="preserve"> </w:t>
      </w:r>
      <w:r>
        <w:rPr>
          <w:rStyle w:val="VerbatimChar"/>
        </w:rPr>
        <w:t xml:space="preserve">Find-GPOConflicts</w:t>
      </w:r>
      <w:r>
        <w:t xml:space="preserve">) are in Appendix B. The handoff to Intune policy design belongs to the workbook’s</w:t>
      </w:r>
      <w:r>
        <w:t xml:space="preserve"> </w:t>
      </w:r>
      <w:hyperlink r:id="rId15">
        <w:r>
          <w:rPr>
            <w:rStyle w:val="Hyperlink"/>
          </w:rPr>
          <w:t xml:space="preserve">GPO sunset program</w:t>
        </w:r>
      </w:hyperlink>
      <w:r>
        <w:t xml:space="preserve">.</w:t>
      </w:r>
    </w:p>
    <w:bookmarkEnd w:id="91"/>
    <w:bookmarkEnd w:id="92"/>
    <w:bookmarkStart w:id="100" w:name="dns-infrastructure"/>
    <w:p>
      <w:pPr>
        <w:pStyle w:val="Heading2"/>
      </w:pPr>
      <w:r>
        <w:t xml:space="preserve">DNS infrastructure</w:t>
      </w:r>
    </w:p>
    <w:p>
      <w:pPr>
        <w:pStyle w:val="FirstParagraph"/>
      </w:pPr>
      <w:r>
        <w:t xml:space="preserve">Active Directory runs on DNS, and many of the hidden dependencies in</w:t>
      </w:r>
      <w:r>
        <w:t xml:space="preserve"> </w:t>
      </w:r>
      <w:hyperlink r:id="rId93">
        <w:r>
          <w:rPr>
            <w:rStyle w:val="Hyperlink"/>
          </w:rPr>
          <w:t xml:space="preserve">Chapter 04</w:t>
        </w:r>
      </w:hyperlink>
      <w:r>
        <w:t xml:space="preserve"> </w:t>
      </w:r>
      <w:r>
        <w:t xml:space="preserve">are DNS records nobody remembers creating. Query every domain controller that runs DNS, not only the global catalogs as the source did; the two sets usually overlap, but they aren’t the same thing.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Check</w:t>
            </w:r>
          </w:p>
        </w:tc>
        <w:tc>
          <w:tcPr/>
          <w:p>
            <w:pPr>
              <w:pStyle w:val="Compact"/>
            </w:pPr>
            <w:r>
              <w:t xml:space="preserve">Cmdlet</w:t>
            </w:r>
          </w:p>
        </w:tc>
        <w:tc>
          <w:tcPr/>
          <w:p>
            <w:pPr>
              <w:pStyle w:val="Compact"/>
            </w:pPr>
            <w:r>
              <w:t xml:space="preserve">What to look for</w:t>
            </w:r>
          </w:p>
        </w:tc>
      </w:tr>
      <w:tr>
        <w:tc>
          <w:tcPr/>
          <w:p>
            <w:pPr>
              <w:pStyle w:val="Compact"/>
            </w:pPr>
            <w:r>
              <w:t xml:space="preserve">Zones</w:t>
            </w:r>
          </w:p>
        </w:tc>
        <w:tc>
          <w:tcPr/>
          <w:p>
            <w:pPr>
              <w:pStyle w:val="Compact"/>
            </w:pPr>
            <w:r>
              <w:rPr>
                <w:rStyle w:val="VerbatimChar"/>
              </w:rPr>
              <w:t xml:space="preserve">Get-DnsServerZone</w:t>
            </w:r>
          </w:p>
        </w:tc>
        <w:tc>
          <w:tcPr/>
          <w:p>
            <w:pPr>
              <w:pStyle w:val="Compact"/>
            </w:pPr>
            <w:r>
              <w:t xml:space="preserve">Type (primary, secondary, stub, forwarder), AD integration and partition (</w:t>
            </w:r>
            <w:r>
              <w:rPr>
                <w:rStyle w:val="VerbatimChar"/>
              </w:rPr>
              <w:t xml:space="preserve">ForestDnsZones</w:t>
            </w:r>
            <w:r>
              <w:t xml:space="preserve">,</w:t>
            </w:r>
            <w:r>
              <w:t xml:space="preserve"> </w:t>
            </w:r>
            <w:r>
              <w:rPr>
                <w:rStyle w:val="VerbatimChar"/>
              </w:rPr>
              <w:t xml:space="preserve">DomainDnsZones</w:t>
            </w:r>
            <w:r>
              <w:t xml:space="preserve">, domain), signed state, dynamic update mode</w:t>
            </w:r>
          </w:p>
        </w:tc>
      </w:tr>
      <w:tr>
        <w:tc>
          <w:tcPr/>
          <w:p>
            <w:pPr>
              <w:pStyle w:val="Compact"/>
            </w:pPr>
            <w:r>
              <w:t xml:space="preserve">Records</w:t>
            </w:r>
          </w:p>
        </w:tc>
        <w:tc>
          <w:tcPr/>
          <w:p>
            <w:pPr>
              <w:pStyle w:val="Compact"/>
            </w:pPr>
            <w:r>
              <w:rPr>
                <w:rStyle w:val="VerbatimChar"/>
              </w:rPr>
              <w:t xml:space="preserve">Get-DnsServerResourceRecord</w:t>
            </w:r>
          </w:p>
        </w:tc>
        <w:tc>
          <w:tcPr/>
          <w:p>
            <w:pPr>
              <w:pStyle w:val="Compact"/>
            </w:pPr>
            <w:r>
              <w:t xml:space="preserve">Count by type per zone; records with old timestamps</w:t>
            </w:r>
          </w:p>
        </w:tc>
      </w:tr>
      <w:tr>
        <w:tc>
          <w:tcPr/>
          <w:p>
            <w:pPr>
              <w:pStyle w:val="Compact"/>
            </w:pPr>
            <w:r>
              <w:t xml:space="preserve">Forwarders</w:t>
            </w:r>
          </w:p>
        </w:tc>
        <w:tc>
          <w:tcPr/>
          <w:p>
            <w:pPr>
              <w:pStyle w:val="Compact"/>
            </w:pPr>
            <w:r>
              <w:rPr>
                <w:rStyle w:val="VerbatimChar"/>
              </w:rPr>
              <w:t xml:space="preserve">Get-DnsServerForwarder</w:t>
            </w:r>
            <w:r>
              <w:t xml:space="preserve">, forwarder zones</w:t>
            </w:r>
          </w:p>
        </w:tc>
        <w:tc>
          <w:tcPr/>
          <w:p>
            <w:pPr>
              <w:pStyle w:val="Compact"/>
            </w:pPr>
            <w:r>
              <w:t xml:space="preserve">Where unresolved names go, and conditional forwarders to partners</w:t>
            </w:r>
          </w:p>
        </w:tc>
      </w:tr>
      <w:tr>
        <w:tc>
          <w:tcPr/>
          <w:p>
            <w:pPr>
              <w:pStyle w:val="Compact"/>
            </w:pPr>
            <w:r>
              <w:t xml:space="preserve">DNSSEC</w:t>
            </w:r>
          </w:p>
        </w:tc>
        <w:tc>
          <w:tcPr/>
          <w:p>
            <w:pPr>
              <w:pStyle w:val="Compact"/>
            </w:pPr>
            <w:r>
              <w:rPr>
                <w:rStyle w:val="VerbatimChar"/>
              </w:rPr>
              <w:t xml:space="preserve">Get-DnsServerDnsSecZoneSetting</w:t>
            </w:r>
          </w:p>
        </w:tc>
        <w:tc>
          <w:tcPr/>
          <w:p>
            <w:pPr>
              <w:pStyle w:val="Compact"/>
            </w:pPr>
            <w:r>
              <w:t xml:space="preserve">Denial-of-existence mode, key master, DS record algorithms</w:t>
            </w:r>
          </w:p>
        </w:tc>
      </w:tr>
      <w:tr>
        <w:tc>
          <w:tcPr/>
          <w:p>
            <w:pPr>
              <w:pStyle w:val="Compact"/>
            </w:pPr>
            <w:r>
              <w:t xml:space="preserve">Scavenging</w:t>
            </w:r>
          </w:p>
        </w:tc>
        <w:tc>
          <w:tcPr/>
          <w:p>
            <w:pPr>
              <w:pStyle w:val="Compact"/>
            </w:pPr>
            <w:r>
              <w:rPr>
                <w:rStyle w:val="VerbatimChar"/>
              </w:rPr>
              <w:t xml:space="preserve">Get-DnsServerScavenging</w:t>
            </w:r>
          </w:p>
        </w:tc>
        <w:tc>
          <w:tcPr/>
          <w:p>
            <w:pPr>
              <w:pStyle w:val="Compact"/>
            </w:pPr>
            <w:r>
              <w:t xml:space="preserve">Whether scavenging is on, and its intervals</w:t>
            </w:r>
          </w:p>
        </w:tc>
      </w:tr>
      <w:tr>
        <w:tc>
          <w:tcPr/>
          <w:p>
            <w:pPr>
              <w:pStyle w:val="Compact"/>
            </w:pPr>
            <w:r>
              <w:t xml:space="preserve">Locator records</w:t>
            </w:r>
          </w:p>
        </w:tc>
        <w:tc>
          <w:tcPr/>
          <w:p>
            <w:pPr>
              <w:pStyle w:val="Compact"/>
            </w:pPr>
            <w:r>
              <w:rPr>
                <w:rStyle w:val="VerbatimChar"/>
              </w:rPr>
              <w:t xml:space="preserve">Resolve-DnsName -Type SRV</w:t>
            </w:r>
          </w:p>
        </w:tc>
        <w:tc>
          <w:tcPr/>
          <w:p>
            <w:pPr>
              <w:pStyle w:val="Compact"/>
            </w:pPr>
            <w:r>
              <w:rPr>
                <w:rStyle w:val="VerbatimChar"/>
              </w:rPr>
              <w:t xml:space="preserve">_ldap._tcp</w:t>
            </w:r>
            <w:r>
              <w:t xml:space="preserve">,</w:t>
            </w:r>
            <w:r>
              <w:t xml:space="preserve"> </w:t>
            </w:r>
            <w:r>
              <w:rPr>
                <w:rStyle w:val="VerbatimChar"/>
              </w:rPr>
              <w:t xml:space="preserve">_kerberos._tcp</w:t>
            </w:r>
            <w:r>
              <w:t xml:space="preserve">,</w:t>
            </w:r>
            <w:r>
              <w:t xml:space="preserve"> </w:t>
            </w:r>
            <w:r>
              <w:rPr>
                <w:rStyle w:val="VerbatimChar"/>
              </w:rPr>
              <w:t xml:space="preserve">_gc._tcp</w:t>
            </w:r>
            <w:r>
              <w:t xml:space="preserve">,</w:t>
            </w:r>
            <w:r>
              <w:t xml:space="preserve"> </w:t>
            </w:r>
            <w:r>
              <w:rPr>
                <w:rStyle w:val="VerbatimChar"/>
              </w:rPr>
              <w:t xml:space="preserve">_kpasswd._tcp</w:t>
            </w:r>
            <w:r>
              <w:t xml:space="preserve"> </w:t>
            </w:r>
            <w:r>
              <w:t xml:space="preserve">for each domain</w:t>
            </w:r>
          </w:p>
        </w:tc>
      </w:tr>
    </w:tbl>
    <w:p>
      <w:pPr>
        <w:pStyle w:val="BodyText"/>
      </w:pPr>
      <w:r>
        <w:rPr>
          <w:rStyle w:val="VerbatimChar"/>
        </w:rPr>
        <w:t xml:space="preserve">Get-DnsServerDnsSecZoneSetting</w:t>
      </w:r>
      <w:r>
        <w:t xml:space="preserve"> </w:t>
      </w:r>
      <w:r>
        <w:t xml:space="preserve">returns, among other fields,</w:t>
      </w:r>
      <w:r>
        <w:t xml:space="preserve"> </w:t>
      </w:r>
      <w:r>
        <w:rPr>
          <w:rStyle w:val="VerbatimChar"/>
        </w:rPr>
        <w:t xml:space="preserve">DenialOfExistence</w:t>
      </w:r>
      <w:r>
        <w:t xml:space="preserve">,</w:t>
      </w:r>
      <w:r>
        <w:t xml:space="preserve"> </w:t>
      </w:r>
      <w:r>
        <w:rPr>
          <w:rStyle w:val="VerbatimChar"/>
        </w:rPr>
        <w:t xml:space="preserve">IsKeyMasterServer</w:t>
      </w:r>
      <w:r>
        <w:t xml:space="preserve">,</w:t>
      </w:r>
      <w:r>
        <w:t xml:space="preserve"> </w:t>
      </w:r>
      <w:r>
        <w:rPr>
          <w:rStyle w:val="VerbatimChar"/>
        </w:rPr>
        <w:t xml:space="preserve">KeyMasterServer</w:t>
      </w:r>
      <w:r>
        <w:t xml:space="preserve"> </w:t>
      </w:r>
      <w:r>
        <w:t xml:space="preserve">and</w:t>
      </w:r>
      <w:r>
        <w:t xml:space="preserve"> </w:t>
      </w:r>
      <w:r>
        <w:rPr>
          <w:rStyle w:val="VerbatimChar"/>
        </w:rPr>
        <w:t xml:space="preserve">DSRecordGenerationAlgorithm</w:t>
      </w:r>
      <w:r>
        <w:t xml:space="preserve">.</w:t>
      </w:r>
      <w:r>
        <w:rPr>
          <w:rStyle w:val="FootnoteReference"/>
        </w:rPr>
        <w:footnoteReference w:id="94"/>
      </w:r>
      <w:r>
        <w:t xml:space="preserve"> </w:t>
      </w:r>
      <w:r>
        <w:rPr>
          <w:rStyle w:val="VerbatimChar"/>
        </w:rPr>
        <w:t xml:space="preserve">Get-DnsServerScavenging</w:t>
      </w:r>
      <w:r>
        <w:t xml:space="preserve"> </w:t>
      </w:r>
      <w:r>
        <w:t xml:space="preserve">returns the server’s aging and scavenging settings.</w:t>
      </w:r>
      <w:r>
        <w:rPr>
          <w:rStyle w:val="FootnoteReference"/>
        </w:rPr>
        <w:footnoteReference w:id="96"/>
      </w:r>
    </w:p>
    <w:p>
      <w:pPr>
        <w:pStyle w:val="BodyText"/>
      </w:pPr>
      <w:r>
        <w:t xml:space="preserve">Read stale-record results carefully. A record with a zero or empty timestamp is static and is never scavenged; only dynamically registered records age.</w:t>
      </w:r>
      <w:r>
        <w:rPr>
          <w:rStyle w:val="FootnoteReference"/>
        </w:rPr>
        <w:footnoteReference w:id="98"/>
      </w:r>
      <w:r>
        <w:t xml:space="preserve"> </w:t>
      </w:r>
      <w:r>
        <w:t xml:space="preserve">The source’s 90-day threshold is a review trigger, not a deletion rule.</w:t>
      </w:r>
    </w:p>
    <w:p>
      <w:pPr>
        <w:pStyle w:val="BodyText"/>
      </w:pPr>
      <w:r>
        <w:t xml:space="preserve">One more correction: the source used PowerShell 7’s</w:t>
      </w:r>
      <w:r>
        <w:t xml:space="preserve"> </w:t>
      </w:r>
      <w:r>
        <w:rPr>
          <w:rStyle w:val="VerbatimChar"/>
        </w:rPr>
        <w:t xml:space="preserve">??</w:t>
      </w:r>
      <w:r>
        <w:t xml:space="preserve"> </w:t>
      </w:r>
      <w:r>
        <w:t xml:space="preserve">operator to pick a record’s data field, but its module declares PowerShell 5.1. Appendix B replaces it with an explicit</w:t>
      </w:r>
      <w:r>
        <w:t xml:space="preserve"> </w:t>
      </w:r>
      <w:r>
        <w:rPr>
          <w:rStyle w:val="VerbatimChar"/>
        </w:rPr>
        <w:t xml:space="preserve">switch</w:t>
      </w:r>
      <w:r>
        <w:t xml:space="preserve"> </w:t>
      </w:r>
      <w:r>
        <w:t xml:space="preserve">on record type. The DNS design that consumes this inventory is in the workbook’s</w:t>
      </w:r>
      <w:r>
        <w:t xml:space="preserve"> </w:t>
      </w:r>
      <w:hyperlink r:id="rId99">
        <w:r>
          <w:rPr>
            <w:rStyle w:val="Hyperlink"/>
          </w:rPr>
          <w:t xml:space="preserve">Book 08 — DNS, DHCP &amp; IPAM</w:t>
        </w:r>
      </w:hyperlink>
      <w:r>
        <w:t xml:space="preserve">.</w:t>
      </w:r>
    </w:p>
    <w:bookmarkEnd w:id="100"/>
    <w:bookmarkStart w:id="128" w:name="certificate-services-ad-cs"/>
    <w:p>
      <w:pPr>
        <w:pStyle w:val="Heading2"/>
      </w:pPr>
      <w:r>
        <w:t xml:space="preserve">Certificate Services (AD CS)</w:t>
      </w:r>
    </w:p>
    <w:p>
      <w:pPr>
        <w:pStyle w:val="FirstParagraph"/>
      </w:pPr>
      <w:r>
        <w:t xml:space="preserve">AD CS matters twice in a migration. It issues the certificates that devices, domain controllers and smart cards depend on, and its misconfigurations are among the most direct privilege-escalation paths in an Active Directory forest.</w:t>
      </w:r>
    </w:p>
    <w:bookmarkStart w:id="106" w:name="discovery"/>
    <w:p>
      <w:pPr>
        <w:pStyle w:val="Heading3"/>
      </w:pPr>
      <w:r>
        <w:t xml:space="preserve">Discovery</w:t>
      </w:r>
    </w:p>
    <w:p>
      <w:pPr>
        <w:pStyle w:val="FirstParagraph"/>
      </w:pPr>
      <w:r>
        <w:t xml:space="preserve">Enterprise CAs publish themselves in the directory, so discovery doesn’t need a tool on the CA. Under</w:t>
      </w:r>
      <w:r>
        <w:t xml:space="preserve"> </w:t>
      </w:r>
      <w:r>
        <w:rPr>
          <w:rStyle w:val="VerbatimChar"/>
        </w:rPr>
        <w:t xml:space="preserve">CN=Public Key Services,CN=Services</w:t>
      </w:r>
      <w:r>
        <w:t xml:space="preserve"> </w:t>
      </w:r>
      <w:r>
        <w:t xml:space="preserve">in the configuration partition:</w:t>
      </w:r>
    </w:p>
    <w:p>
      <w:pPr>
        <w:pStyle w:val="Compact"/>
        <w:numPr>
          <w:ilvl w:val="0"/>
          <w:numId w:val="1005"/>
        </w:numPr>
      </w:pPr>
      <w:r>
        <w:rPr>
          <w:b/>
          <w:bCs/>
        </w:rPr>
        <w:t xml:space="preserve">Enrollment Services</w:t>
      </w:r>
      <w:r>
        <w:t xml:space="preserve"> </w:t>
      </w:r>
      <w:r>
        <w:t xml:space="preserve">holds a</w:t>
      </w:r>
      <w:r>
        <w:t xml:space="preserve"> </w:t>
      </w:r>
      <w:r>
        <w:rPr>
          <w:rStyle w:val="VerbatimChar"/>
        </w:rPr>
        <w:t xml:space="preserve">pKIEnrollmentService</w:t>
      </w:r>
      <w:r>
        <w:t xml:space="preserve"> </w:t>
      </w:r>
      <w:r>
        <w:t xml:space="preserve">object for each enterprise CA, recording which certificate types it can issue; its permissions control who can enroll.</w:t>
      </w:r>
    </w:p>
    <w:p>
      <w:pPr>
        <w:pStyle w:val="Compact"/>
        <w:numPr>
          <w:ilvl w:val="0"/>
          <w:numId w:val="1005"/>
        </w:numPr>
      </w:pPr>
      <w:r>
        <w:rPr>
          <w:b/>
          <w:bCs/>
        </w:rPr>
        <w:t xml:space="preserve">Certificate Templates</w:t>
      </w:r>
      <w:r>
        <w:t xml:space="preserve"> </w:t>
      </w:r>
      <w:r>
        <w:t xml:space="preserve">holds the templates enterprise CAs issue from.</w:t>
      </w:r>
    </w:p>
    <w:p>
      <w:pPr>
        <w:pStyle w:val="Compact"/>
        <w:numPr>
          <w:ilvl w:val="0"/>
          <w:numId w:val="1005"/>
        </w:numPr>
      </w:pPr>
      <w:r>
        <w:rPr>
          <w:b/>
          <w:bCs/>
        </w:rPr>
        <w:t xml:space="preserve">AIA</w:t>
      </w:r>
      <w:r>
        <w:t xml:space="preserve">,</w:t>
      </w:r>
      <w:r>
        <w:t xml:space="preserve"> </w:t>
      </w:r>
      <w:r>
        <w:rPr>
          <w:b/>
          <w:bCs/>
        </w:rPr>
        <w:t xml:space="preserve">CDP</w:t>
      </w:r>
      <w:r>
        <w:t xml:space="preserve">,</w:t>
      </w:r>
      <w:r>
        <w:t xml:space="preserve"> </w:t>
      </w:r>
      <w:r>
        <w:rPr>
          <w:b/>
          <w:bCs/>
        </w:rPr>
        <w:t xml:space="preserve">Certification Authorities</w:t>
      </w:r>
      <w:r>
        <w:t xml:space="preserve"> </w:t>
      </w:r>
      <w:r>
        <w:t xml:space="preserve">and</w:t>
      </w:r>
      <w:r>
        <w:t xml:space="preserve"> </w:t>
      </w:r>
      <w:r>
        <w:rPr>
          <w:b/>
          <w:bCs/>
        </w:rPr>
        <w:t xml:space="preserve">NTAuthCertificates</w:t>
      </w:r>
      <w:r>
        <w:t xml:space="preserve"> </w:t>
      </w:r>
      <w:r>
        <w:t xml:space="preserve">hold CA certificates, CRLs, the forest root trust store and the CAs trusted for smart card and domain controller authentication.</w:t>
      </w:r>
      <w:r>
        <w:rPr>
          <w:rStyle w:val="FootnoteReference"/>
        </w:rPr>
        <w:footnoteReference w:id="101"/>
      </w:r>
    </w:p>
    <w:p>
      <w:pPr>
        <w:pStyle w:val="FirstParagraph"/>
      </w:pPr>
      <w:r>
        <w:rPr>
          <w:rStyle w:val="VerbatimChar"/>
        </w:rPr>
        <w:t xml:space="preserve">certutil -ADCA</w:t>
      </w:r>
      <w:r>
        <w:t xml:space="preserve"> </w:t>
      </w:r>
      <w:r>
        <w:t xml:space="preserve">lists the CAs in the directory,</w:t>
      </w:r>
      <w:r>
        <w:t xml:space="preserve"> </w:t>
      </w:r>
      <w:r>
        <w:rPr>
          <w:rStyle w:val="VerbatimChar"/>
        </w:rPr>
        <w:t xml:space="preserve">-CAInfo</w:t>
      </w:r>
      <w:r>
        <w:t xml:space="preserve"> </w:t>
      </w:r>
      <w:r>
        <w:t xml:space="preserve">and</w:t>
      </w:r>
      <w:r>
        <w:t xml:space="preserve"> </w:t>
      </w:r>
      <w:r>
        <w:rPr>
          <w:rStyle w:val="VerbatimChar"/>
        </w:rPr>
        <w:t xml:space="preserve">-ping</w:t>
      </w:r>
      <w:r>
        <w:t xml:space="preserve"> </w:t>
      </w:r>
      <w:r>
        <w:t xml:space="preserve">query a CA, and</w:t>
      </w:r>
      <w:r>
        <w:t xml:space="preserve"> </w:t>
      </w:r>
      <w:r>
        <w:rPr>
          <w:rStyle w:val="VerbatimChar"/>
        </w:rPr>
        <w:t xml:space="preserve">-getreg policy\EditFlags</w:t>
      </w:r>
      <w:r>
        <w:t xml:space="preserve"> </w:t>
      </w:r>
      <w:r>
        <w:t xml:space="preserve">reads the policy module flags.</w:t>
      </w:r>
      <w:r>
        <w:rPr>
          <w:rStyle w:val="FootnoteReference"/>
        </w:rPr>
        <w:footnoteReference w:id="103"/>
      </w:r>
      <w:r>
        <w:t xml:space="preserve"> </w:t>
      </w:r>
      <w:r>
        <w:t xml:space="preserve">The source used</w:t>
      </w:r>
      <w:r>
        <w:t xml:space="preserve"> </w:t>
      </w:r>
      <w:r>
        <w:rPr>
          <w:rStyle w:val="VerbatimChar"/>
        </w:rPr>
        <w:t xml:space="preserve">certutil -config - -ping</w:t>
      </w:r>
      <w:r>
        <w:t xml:space="preserve">;</w:t>
      </w:r>
      <w:r>
        <w:t xml:space="preserve"> </w:t>
      </w:r>
      <w:r>
        <w:rPr>
          <w:rStyle w:val="VerbatimChar"/>
        </w:rPr>
        <w:t xml:space="preserve">-config -</w:t>
      </w:r>
      <w:r>
        <w:t xml:space="preserve"> </w:t>
      </w:r>
      <w:r>
        <w:t xml:space="preserve">asks for a CA interactively, which a scheduled run can’t answer. Pass</w:t>
      </w:r>
      <w:r>
        <w:t xml:space="preserve"> </w:t>
      </w:r>
      <w:r>
        <w:rPr>
          <w:rStyle w:val="VerbatimChar"/>
        </w:rPr>
        <w:t xml:space="preserve">-config &lt;host&gt;\&lt;CA name&gt;</w:t>
      </w:r>
      <w:r>
        <w:t xml:space="preserve"> </w:t>
      </w:r>
      <w:r>
        <w:t xml:space="preserve">instead.</w:t>
      </w:r>
    </w:p>
    <w:p>
      <w:pPr>
        <w:pStyle w:val="BodyText"/>
      </w:pPr>
      <w:r>
        <w:t xml:space="preserve">The source also called three PSPKI cmdlets that don’t exist under those names. The CRL and AIA cmdlets are</w:t>
      </w:r>
      <w:r>
        <w:t xml:space="preserve"> </w:t>
      </w:r>
      <w:r>
        <w:rPr>
          <w:rStyle w:val="VerbatimChar"/>
        </w:rPr>
        <w:t xml:space="preserve">Get-CRLDistributionPoint</w:t>
      </w:r>
      <w:r>
        <w:t xml:space="preserve"> </w:t>
      </w:r>
      <w:r>
        <w:t xml:space="preserve">and</w:t>
      </w:r>
      <w:r>
        <w:t xml:space="preserve"> </w:t>
      </w:r>
      <w:r>
        <w:rPr>
          <w:rStyle w:val="VerbatimChar"/>
        </w:rPr>
        <w:t xml:space="preserve">Get-AuthorityInformationAccess</w:t>
      </w:r>
      <w:r>
        <w:t xml:space="preserve">, and there’s no</w:t>
      </w:r>
      <w:r>
        <w:t xml:space="preserve"> </w:t>
      </w:r>
      <w:r>
        <w:rPr>
          <w:rStyle w:val="VerbatimChar"/>
        </w:rPr>
        <w:t xml:space="preserve">Get-CACertificate</w:t>
      </w:r>
      <w:r>
        <w:t xml:space="preserve">.</w:t>
      </w:r>
      <w:r>
        <w:rPr>
          <w:rStyle w:val="FootnoteReference"/>
        </w:rPr>
        <w:footnoteReference w:id="105"/>
      </w:r>
      <w:r>
        <w:t xml:space="preserve"> </w:t>
      </w:r>
      <w:r>
        <w:t xml:space="preserve">Appendix B reads the CA certificate with</w:t>
      </w:r>
      <w:r>
        <w:t xml:space="preserve"> </w:t>
      </w:r>
      <w:r>
        <w:rPr>
          <w:rStyle w:val="VerbatimChar"/>
        </w:rPr>
        <w:t xml:space="preserve">certutil -ca.cert</w:t>
      </w:r>
      <w:r>
        <w:t xml:space="preserve"> </w:t>
      </w:r>
      <w:r>
        <w:t xml:space="preserve">instead.</w:t>
      </w:r>
    </w:p>
    <w:bookmarkEnd w:id="106"/>
    <w:bookmarkStart w:id="127" w:name="escalation-patterns"/>
    <w:p>
      <w:pPr>
        <w:pStyle w:val="Heading3"/>
      </w:pPr>
      <w:r>
        <w:t xml:space="preserve">Escalation patterns</w:t>
      </w:r>
    </w:p>
    <w:p>
      <w:pPr>
        <w:pStyle w:val="FirstParagraph"/>
      </w:pPr>
      <w:r>
        <w:t xml:space="preserve">The ESC naming for AD CS escalation patterns comes from SpecterOps’ 2021 research, which defined ESC1 through ESC8; SpecterOps’ own tooling now covers patterns through ESC16.</w:t>
      </w:r>
      <w:r>
        <w:rPr>
          <w:rStyle w:val="FootnoteReference"/>
        </w:rPr>
        <w:footnoteReference w:id="107"/>
      </w:r>
      <w:r>
        <w:t xml:space="preserve"> </w:t>
      </w:r>
      <w:r>
        <w:t xml:space="preserve">Microsoft Defender for Identity now assesses several of them in Secure Score.</w:t>
      </w:r>
      <w:r>
        <w:rPr>
          <w:rStyle w:val="FootnoteReference"/>
        </w:rPr>
        <w:footnoteReference w:id="109"/>
      </w:r>
      <w:r>
        <w:t xml:space="preserve"> </w:t>
      </w:r>
      <w:r>
        <w:t xml:space="preserve">The assessment checks the ones it can see from the directory and the CA registry: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Pattern</w:t>
            </w:r>
          </w:p>
        </w:tc>
        <w:tc>
          <w:tcPr/>
          <w:p>
            <w:pPr>
              <w:pStyle w:val="Compact"/>
            </w:pPr>
            <w:r>
              <w:t xml:space="preserve">Condition</w:t>
            </w:r>
          </w:p>
        </w:tc>
        <w:tc>
          <w:tcPr/>
          <w:p>
            <w:pPr>
              <w:pStyle w:val="Compact"/>
            </w:pPr>
            <w:r>
              <w:t xml:space="preserve">Source of truth</w:t>
            </w:r>
          </w:p>
        </w:tc>
      </w:tr>
      <w:tr>
        <w:tc>
          <w:tcPr/>
          <w:p>
            <w:pPr>
              <w:pStyle w:val="Compact"/>
            </w:pPr>
            <w:r>
              <w:t xml:space="preserve">ESC1</w:t>
            </w:r>
          </w:p>
        </w:tc>
        <w:tc>
          <w:tcPr/>
          <w:p>
            <w:pPr>
              <w:pStyle w:val="Compact"/>
            </w:pPr>
            <w:r>
              <w:t xml:space="preserve">Template lets the enrollee supply the subject, allows an authentication EKU, needs no manager approval or authorized signature, and is enrollable by broad groups</w:t>
            </w:r>
          </w:p>
        </w:tc>
        <w:tc>
          <w:tcPr/>
          <w:p>
            <w:pPr>
              <w:pStyle w:val="Compact"/>
            </w:pPr>
            <w:r>
              <w:rPr>
                <w:rStyle w:val="VerbatimChar"/>
              </w:rPr>
              <w:t xml:space="preserve">msPKI-Certificate-Name-Flag</w:t>
            </w:r>
            <w:r>
              <w:t xml:space="preserve">, EKU attributes,</w:t>
            </w:r>
            <w:r>
              <w:t xml:space="preserve"> </w:t>
            </w:r>
            <w:r>
              <w:rPr>
                <w:rStyle w:val="VerbatimChar"/>
              </w:rPr>
              <w:t xml:space="preserve">msPKI-Enrollment-Flag</w:t>
            </w:r>
            <w:r>
              <w:t xml:space="preserve">,</w:t>
            </w:r>
            <w:r>
              <w:t xml:space="preserve"> </w:t>
            </w:r>
            <w:r>
              <w:rPr>
                <w:rStyle w:val="VerbatimChar"/>
              </w:rPr>
              <w:t xml:space="preserve">msPKI-RA-Signature</w:t>
            </w:r>
            <w:r>
              <w:t xml:space="preserve">, template ACL</w:t>
            </w:r>
          </w:p>
        </w:tc>
      </w:tr>
      <w:tr>
        <w:tc>
          <w:tcPr/>
          <w:p>
            <w:pPr>
              <w:pStyle w:val="Compact"/>
            </w:pPr>
            <w:r>
              <w:t xml:space="preserve">ESC2</w:t>
            </w:r>
          </w:p>
        </w:tc>
        <w:tc>
          <w:tcPr/>
          <w:p>
            <w:pPr>
              <w:pStyle w:val="Compact"/>
            </w:pPr>
            <w:r>
              <w:t xml:space="preserve">Template has the Any Purpose EKU or no EKU</w:t>
            </w:r>
          </w:p>
        </w:tc>
        <w:tc>
          <w:tcPr/>
          <w:p>
            <w:pPr>
              <w:pStyle w:val="Compact"/>
            </w:pPr>
            <w:r>
              <w:t xml:space="preserve">EKU attributes</w:t>
            </w:r>
          </w:p>
        </w:tc>
      </w:tr>
      <w:tr>
        <w:tc>
          <w:tcPr/>
          <w:p>
            <w:pPr>
              <w:pStyle w:val="Compact"/>
            </w:pPr>
            <w:r>
              <w:t xml:space="preserve">ESC4</w:t>
            </w:r>
          </w:p>
        </w:tc>
        <w:tc>
          <w:tcPr/>
          <w:p>
            <w:pPr>
              <w:pStyle w:val="Compact"/>
            </w:pPr>
            <w:r>
              <w:t xml:space="preserve">Template ACL lets broad groups write to it</w:t>
            </w:r>
          </w:p>
        </w:tc>
        <w:tc>
          <w:tcPr/>
          <w:p>
            <w:pPr>
              <w:pStyle w:val="Compact"/>
            </w:pPr>
            <w:r>
              <w:t xml:space="preserve">Template ACL</w:t>
            </w:r>
          </w:p>
        </w:tc>
      </w:tr>
      <w:tr>
        <w:tc>
          <w:tcPr/>
          <w:p>
            <w:pPr>
              <w:pStyle w:val="Compact"/>
            </w:pPr>
            <w:r>
              <w:t xml:space="preserve">ESC6</w:t>
            </w:r>
          </w:p>
        </w:tc>
        <w:tc>
          <w:tcPr/>
          <w:p>
            <w:pPr>
              <w:pStyle w:val="Compact"/>
            </w:pPr>
            <w:r>
              <w:t xml:space="preserve">CA has</w:t>
            </w:r>
            <w:r>
              <w:t xml:space="preserve"> </w:t>
            </w:r>
            <w:r>
              <w:rPr>
                <w:rStyle w:val="VerbatimChar"/>
              </w:rPr>
              <w:t xml:space="preserve">EDITF_ATTRIBUTESUBJECTALTNAME2</w:t>
            </w:r>
            <w:r>
              <w:t xml:space="preserve"> </w:t>
            </w:r>
            <w:r>
              <w:t xml:space="preserve">set, so any requester can add a SAN</w:t>
            </w:r>
          </w:p>
        </w:tc>
        <w:tc>
          <w:tcPr/>
          <w:p>
            <w:pPr>
              <w:pStyle w:val="Compact"/>
            </w:pPr>
            <w:r>
              <w:rPr>
                <w:rStyle w:val="VerbatimChar"/>
              </w:rPr>
              <w:t xml:space="preserve">certutil -getreg policy\EditFlags</w:t>
            </w:r>
          </w:p>
        </w:tc>
      </w:tr>
      <w:tr>
        <w:tc>
          <w:tcPr/>
          <w:p>
            <w:pPr>
              <w:pStyle w:val="Compact"/>
            </w:pPr>
            <w:r>
              <w:t xml:space="preserve">ESC7</w:t>
            </w:r>
          </w:p>
        </w:tc>
        <w:tc>
          <w:tcPr/>
          <w:p>
            <w:pPr>
              <w:pStyle w:val="Compact"/>
            </w:pPr>
            <w:r>
              <w:t xml:space="preserve">Broad groups hold Manage CA or Manage Certificates on the CA</w:t>
            </w:r>
          </w:p>
        </w:tc>
        <w:tc>
          <w:tcPr/>
          <w:p>
            <w:pPr>
              <w:pStyle w:val="Compact"/>
            </w:pPr>
            <w:r>
              <w:t xml:space="preserve">CA ACL</w:t>
            </w:r>
          </w:p>
        </w:tc>
      </w:tr>
    </w:tbl>
    <w:p>
      <w:pPr>
        <w:pStyle w:val="BodyText"/>
      </w:pPr>
      <w:r>
        <w:t xml:space="preserve">Defender for Identity’s definitions are the reference. ESC1 is a template with</w:t>
      </w:r>
      <w:r>
        <w:t xml:space="preserve"> </w:t>
      </w:r>
      <w:r>
        <w:rPr>
          <w:i/>
          <w:iCs/>
        </w:rPr>
        <w:t xml:space="preserve">Supply in the request</w:t>
      </w:r>
      <w:r>
        <w:t xml:space="preserve"> </w:t>
      </w:r>
      <w:r>
        <w:t xml:space="preserve">on, an authentication EKU such as Client Authentication, Smart Card Logon, PKINIT client authentication or Any Purpose, and enrollment open to unprivileged groups, unless manager approval or authorized signatures mitigate it.</w:t>
      </w:r>
      <w:r>
        <w:rPr>
          <w:rStyle w:val="FootnoteReference"/>
        </w:rPr>
        <w:footnoteReference w:id="111"/>
      </w:r>
      <w:r>
        <w:t xml:space="preserve"> </w:t>
      </w:r>
      <w:r>
        <w:t xml:space="preserve">ESC6 is the CA flag that lets every requester specify the SAN for every template; Microsoft’s remediation is</w:t>
      </w:r>
      <w:r>
        <w:t xml:space="preserve"> </w:t>
      </w:r>
      <w:r>
        <w:rPr>
          <w:rStyle w:val="VerbatimChar"/>
        </w:rPr>
        <w:t xml:space="preserve">certutil -setreg policy\EditFlags -EDITF_ATTRIBUTESUBJECTALTNAME2</w:t>
      </w:r>
      <w:r>
        <w:t xml:space="preserve"> </w:t>
      </w:r>
      <w:r>
        <w:t xml:space="preserve">and a service restart.</w:t>
      </w:r>
      <w:r>
        <w:rPr>
          <w:rStyle w:val="FootnoteReference"/>
        </w:rPr>
        <w:footnoteReference w:id="112"/>
      </w:r>
      <w:r>
        <w:t xml:space="preserve"> </w:t>
      </w:r>
      <w:r>
        <w:t xml:space="preserve">ESC4 is a template ACL that gives a broad group rights such as Full Control or Write DACL.</w:t>
      </w:r>
      <w:r>
        <w:rPr>
          <w:rStyle w:val="FootnoteReference"/>
        </w:rPr>
        <w:footnoteReference w:id="113"/>
      </w:r>
    </w:p>
    <w:p>
      <w:pPr>
        <w:pStyle w:val="BodyText"/>
      </w:pPr>
      <w:r>
        <w:t xml:space="preserve">The source’s ESC1 check tested for the Digital Signature</w:t>
      </w:r>
      <w:r>
        <w:t xml:space="preserve"> </w:t>
      </w:r>
      <w:r>
        <w:rPr>
          <w:i/>
          <w:iCs/>
        </w:rPr>
        <w:t xml:space="preserve">key usage</w:t>
      </w:r>
      <w:r>
        <w:t xml:space="preserve">. That’s the wrong field: almost every template has it. The check has to test the</w:t>
      </w:r>
      <w:r>
        <w:t xml:space="preserve"> </w:t>
      </w:r>
      <w:r>
        <w:rPr>
          <w:i/>
          <w:iCs/>
        </w:rPr>
        <w:t xml:space="preserve">extended</w:t>
      </w:r>
      <w:r>
        <w:t xml:space="preserve"> </w:t>
      </w:r>
      <w:r>
        <w:t xml:space="preserve">key usage for an authentication purpose. In the directory, the enrollee-supplies-subject flag is</w:t>
      </w:r>
      <w:r>
        <w:t xml:space="preserve"> </w:t>
      </w:r>
      <w:r>
        <w:rPr>
          <w:rStyle w:val="VerbatimChar"/>
        </w:rPr>
        <w:t xml:space="preserve">0x1</w:t>
      </w:r>
      <w:r>
        <w:t xml:space="preserve"> </w:t>
      </w:r>
      <w:r>
        <w:t xml:space="preserve">in the name flags and the pend-all-requests (manager approval) flag is</w:t>
      </w:r>
      <w:r>
        <w:t xml:space="preserve"> </w:t>
      </w:r>
      <w:r>
        <w:rPr>
          <w:rStyle w:val="VerbatimChar"/>
        </w:rPr>
        <w:t xml:space="preserve">0x2</w:t>
      </w:r>
      <w:r>
        <w:t xml:space="preserve"> </w:t>
      </w:r>
      <w:r>
        <w:t xml:space="preserve">in the enrollment flags.</w:t>
      </w:r>
      <w:r>
        <w:rPr>
          <w:rStyle w:val="FootnoteReference"/>
        </w:rPr>
        <w:footnoteReference w:id="114"/>
      </w:r>
      <w:r>
        <w:rPr>
          <w:rStyle w:val="FootnoteReference"/>
        </w:rPr>
        <w:footnoteReference w:id="116"/>
      </w:r>
      <w:r>
        <w:t xml:space="preserve"> </w:t>
      </w:r>
      <w:r>
        <w:t xml:space="preserve">The authentication EKUs are Client Authentication</w:t>
      </w:r>
      <w:r>
        <w:t xml:space="preserve"> </w:t>
      </w:r>
      <w:r>
        <w:rPr>
          <w:rStyle w:val="VerbatimChar"/>
        </w:rPr>
        <w:t xml:space="preserve">1.3.6.1.5.5.7.3.2</w:t>
      </w:r>
      <w:r>
        <w:t xml:space="preserve">, Smart Card Logon</w:t>
      </w:r>
      <w:r>
        <w:t xml:space="preserve"> </w:t>
      </w:r>
      <w:r>
        <w:rPr>
          <w:rStyle w:val="VerbatimChar"/>
        </w:rPr>
        <w:t xml:space="preserve">1.3.6.1.4.1.311.20.2.2</w:t>
      </w:r>
      <w:r>
        <w:t xml:space="preserve">, PKINIT client authentication</w:t>
      </w:r>
      <w:r>
        <w:t xml:space="preserve"> </w:t>
      </w:r>
      <w:r>
        <w:rPr>
          <w:rStyle w:val="VerbatimChar"/>
        </w:rPr>
        <w:t xml:space="preserve">1.3.6.1.5.2.3.4</w:t>
      </w:r>
      <w:r>
        <w:t xml:space="preserve">, and Any Purpose</w:t>
      </w:r>
      <w:r>
        <w:t xml:space="preserve"> </w:t>
      </w:r>
      <w:r>
        <w:rPr>
          <w:rStyle w:val="VerbatimChar"/>
        </w:rPr>
        <w:t xml:space="preserve">2.5.29.37.0</w:t>
      </w:r>
      <w:r>
        <w:t xml:space="preserve">.</w:t>
      </w:r>
      <w:r>
        <w:rPr>
          <w:rStyle w:val="FootnoteReference"/>
        </w:rPr>
        <w:footnoteReference w:id="118"/>
      </w:r>
      <w:r>
        <w:rPr>
          <w:rStyle w:val="FootnoteReference"/>
        </w:rPr>
        <w:footnoteReference w:id="120"/>
      </w:r>
      <w:r>
        <w:rPr>
          <w:rStyle w:val="FootnoteReference"/>
        </w:rPr>
        <w:footnoteReference w:id="122"/>
      </w:r>
    </w:p>
    <w:p>
      <w:pPr>
        <w:pStyle w:val="SourceCode"/>
      </w:pPr>
      <w:r>
        <w:rPr>
          <w:rStyle w:val="VariableTok"/>
        </w:rPr>
        <w:t xml:space="preserve">$config</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Get-ADRootDSE</w:t>
      </w:r>
      <w:r>
        <w:rPr>
          <w:rStyle w:val="OperatorTok"/>
        </w:rPr>
        <w:t xml:space="preserve">).</w:t>
      </w:r>
      <w:r>
        <w:rPr>
          <w:rStyle w:val="FunctionTok"/>
        </w:rPr>
        <w:t xml:space="preserve">configurationNamingContext</w:t>
      </w:r>
      <w:r>
        <w:br/>
      </w:r>
      <w:r>
        <w:rPr>
          <w:rStyle w:val="VariableTok"/>
        </w:rPr>
        <w:t xml:space="preserve">$authEku</w:t>
      </w:r>
      <w:r>
        <w:rPr>
          <w:rStyle w:val="NormalTok"/>
        </w:rPr>
        <w:t xml:space="preserve"> </w:t>
      </w:r>
      <w:r>
        <w:rPr>
          <w:rStyle w:val="OperatorTok"/>
        </w:rPr>
        <w:t xml:space="preserve">=</w:t>
      </w:r>
      <w:r>
        <w:rPr>
          <w:rStyle w:val="NormalTok"/>
        </w:rPr>
        <w:t xml:space="preserve"> </w:t>
      </w:r>
      <w:r>
        <w:rPr>
          <w:rStyle w:val="StringTok"/>
        </w:rPr>
        <w:t xml:space="preserve">'1.3.6.1.5.5.7.3.2'</w:t>
      </w:r>
      <w:r>
        <w:rPr>
          <w:rStyle w:val="OperatorTok"/>
        </w:rPr>
        <w:t xml:space="preserve">,</w:t>
      </w:r>
      <w:r>
        <w:rPr>
          <w:rStyle w:val="StringTok"/>
        </w:rPr>
        <w:t xml:space="preserve">'1.3.6.1.4.1.311.20.2.2'</w:t>
      </w:r>
      <w:r>
        <w:rPr>
          <w:rStyle w:val="OperatorTok"/>
        </w:rPr>
        <w:t xml:space="preserve">,</w:t>
      </w:r>
      <w:r>
        <w:rPr>
          <w:rStyle w:val="StringTok"/>
        </w:rPr>
        <w:t xml:space="preserve">'1.3.6.1.5.2.3.4'</w:t>
      </w:r>
      <w:r>
        <w:rPr>
          <w:rStyle w:val="OperatorTok"/>
        </w:rPr>
        <w:t xml:space="preserve">,</w:t>
      </w:r>
      <w:r>
        <w:rPr>
          <w:rStyle w:val="StringTok"/>
        </w:rPr>
        <w:t xml:space="preserve">'2.5.29.37.0'</w:t>
      </w:r>
      <w:r>
        <w:br/>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"CN=Certificate Templates,CN=Public Key Services,CN=Services,</w:t>
      </w:r>
      <w:r>
        <w:rPr>
          <w:rStyle w:val="VariableTok"/>
        </w:rPr>
        <w:t xml:space="preserve">$config</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'(objectClass=pKICertificateTemplate)'</w:t>
      </w:r>
      <w:r>
        <w:rPr>
          <w:rStyle w:val="NormalTok"/>
        </w:rPr>
        <w:t xml:space="preserve"> `</w:t>
      </w:r>
      <w:r>
        <w:br/>
      </w:r>
      <w:r>
        <w:rPr>
          <w:rStyle w:val="NormalTok"/>
        </w:rPr>
        <w:t xml:space="preserve">    </w:t>
      </w:r>
      <w:r>
        <w:rPr>
          <w:rStyle w:val="OperatorTok"/>
        </w:rPr>
        <w:t xml:space="preserve">-</w:t>
      </w:r>
      <w:r>
        <w:rPr>
          <w:rStyle w:val="NormalTok"/>
        </w:rPr>
        <w:t xml:space="preserve">Properties displayName</w:t>
      </w:r>
      <w:r>
        <w:rPr>
          <w:rStyle w:val="OperatorTok"/>
        </w:rPr>
        <w:t xml:space="preserve">,</w:t>
      </w:r>
      <w:r>
        <w:rPr>
          <w:rStyle w:val="NormalTok"/>
        </w:rPr>
        <w:t xml:space="preserve"> msPKI-Certificate-Name-Flag</w:t>
      </w:r>
      <w:r>
        <w:rPr>
          <w:rStyle w:val="OperatorTok"/>
        </w:rPr>
        <w:t xml:space="preserve">,</w:t>
      </w:r>
      <w:r>
        <w:rPr>
          <w:rStyle w:val="NormalTok"/>
        </w:rPr>
        <w:t xml:space="preserve"> msPKI-Enrollment-Flag</w:t>
      </w:r>
      <w:r>
        <w:rPr>
          <w:rStyle w:val="OperatorTok"/>
        </w:rPr>
        <w:t xml:space="preserve">,</w:t>
      </w:r>
      <w:r>
        <w:br/>
      </w:r>
      <w:r>
        <w:rPr>
          <w:rStyle w:val="NormalTok"/>
        </w:rPr>
        <w:t xml:space="preserve">                msPKI-RA-Signature</w:t>
      </w:r>
      <w:r>
        <w:rPr>
          <w:rStyle w:val="OperatorTok"/>
        </w:rPr>
        <w:t xml:space="preserve">,</w:t>
      </w:r>
      <w:r>
        <w:rPr>
          <w:rStyle w:val="NormalTok"/>
        </w:rPr>
        <w:t xml:space="preserve"> pKIExtendedKeyUsage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'msPKI-Certificate-Name-Flag'</w:t>
      </w:r>
      <w:r>
        <w:rPr>
          <w:rStyle w:val="NormalTok"/>
        </w:rPr>
        <w:t xml:space="preserve"> </w:t>
      </w:r>
      <w:r>
        <w:rPr>
          <w:rStyle w:val="OperatorTok"/>
        </w:rPr>
        <w:t xml:space="preserve">-band</w:t>
      </w:r>
      <w:r>
        <w:rPr>
          <w:rStyle w:val="NormalTok"/>
        </w:rPr>
        <w:t xml:space="preserve"> </w:t>
      </w:r>
      <w:r>
        <w:rPr>
          <w:rStyle w:val="DecValTok"/>
        </w:rPr>
        <w:t xml:space="preserve">0x1</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'msPKI-Enrollment-Flag'</w:t>
      </w:r>
      <w:r>
        <w:rPr>
          <w:rStyle w:val="NormalTok"/>
        </w:rPr>
        <w:t xml:space="preserve"> </w:t>
      </w:r>
      <w:r>
        <w:rPr>
          <w:rStyle w:val="OperatorTok"/>
        </w:rPr>
        <w:t xml:space="preserve">-band</w:t>
      </w:r>
      <w:r>
        <w:rPr>
          <w:rStyle w:val="NormalTok"/>
        </w:rPr>
        <w:t xml:space="preserve"> </w:t>
      </w:r>
      <w:r>
        <w:rPr>
          <w:rStyle w:val="DecValTok"/>
        </w:rPr>
        <w:t xml:space="preserve">0x2</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$_</w:t>
      </w:r>
      <w:r>
        <w:rPr>
          <w:rStyle w:val="OperatorTok"/>
        </w:rPr>
        <w:t xml:space="preserve">.</w:t>
      </w:r>
      <w:r>
        <w:rPr>
          <w:rStyle w:val="StringTok"/>
        </w:rPr>
        <w:t xml:space="preserve">'msPKI-RA-Signature'</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pKIExtendedKeyUsage</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pKIExtendedKeyUsage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in </w:t>
      </w:r>
      <w:r>
        <w:rPr>
          <w:rStyle w:val="VariableTok"/>
        </w:rPr>
        <w:t xml:space="preserve">$authEku</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displayName</w:t>
      </w:r>
    </w:p>
    <w:p>
      <w:pPr>
        <w:pStyle w:val="FirstParagraph"/>
      </w:pPr>
      <w:r>
        <w:t xml:space="preserve">A template that passes this filter is an ESC1 candidate only if it’s also published by a CA and enrollable by a broad group; Appendix B checks both before raising a finding. Report only; don’t remediate from the assessment. Remediation belongs to the PKI owner, through</w:t>
      </w:r>
      <w:r>
        <w:t xml:space="preserve"> </w:t>
      </w:r>
      <w:hyperlink r:id="rId124">
        <w:r>
          <w:rPr>
            <w:rStyle w:val="Hyperlink"/>
          </w:rPr>
          <w:t xml:space="preserve">Book 07 — PKI &amp; Certificates</w:t>
        </w:r>
      </w:hyperlink>
      <w:r>
        <w:t xml:space="preserve">.</w:t>
      </w:r>
    </w:p>
    <w:p>
      <w:pPr>
        <w:pStyle w:val="BodyText"/>
      </w:pPr>
      <w:r>
        <w:t xml:space="preserve">For the migration itself, the PKI inventory tells you whether user certificates can move to Microsoft Entra certificate-based authentication, which authenticates X.509 certificates against your PKI directly in Entra ID without federated AD FS.</w:t>
      </w:r>
      <w:r>
        <w:rPr>
          <w:rStyle w:val="FootnoteReference"/>
        </w:rPr>
        <w:footnoteReference w:id="125"/>
      </w:r>
    </w:p>
    <w:bookmarkEnd w:id="127"/>
    <w:bookmarkEnd w:id="128"/>
    <w:bookmarkStart w:id="141" w:name="computer-objects"/>
    <w:p>
      <w:pPr>
        <w:pStyle w:val="Heading2"/>
      </w:pPr>
      <w:r>
        <w:t xml:space="preserve">Computer objects</w:t>
      </w:r>
    </w:p>
    <w:p>
      <w:pPr>
        <w:pStyle w:val="FirstParagraph"/>
      </w:pPr>
      <w:r>
        <w:t xml:space="preserve">Every computer object is a migration decision: Entra join, hybrid join, Azure Arc, retirement, or keep in Active Directory. The computer inventory carries name, DNS name, OS and version, enabled state, last logon, password last set, SPNs, encryption types and the delegation attributes.</w:t>
      </w:r>
    </w:p>
    <w:bookmarkStart w:id="134" w:name="staleness"/>
    <w:p>
      <w:pPr>
        <w:pStyle w:val="Heading3"/>
      </w:pPr>
      <w:r>
        <w:t xml:space="preserve">Staleness</w:t>
      </w:r>
    </w:p>
    <w:p>
      <w:pPr>
        <w:pStyle w:val="FirstParagraph"/>
      </w:pPr>
      <w:r>
        <w:rPr>
          <w:rStyle w:val="VerbatimChar"/>
        </w:rPr>
        <w:t xml:space="preserve">LastLogonDate</w:t>
      </w:r>
      <w:r>
        <w:t xml:space="preserve"> </w:t>
      </w:r>
      <w:r>
        <w:t xml:space="preserve">is a converted</w:t>
      </w:r>
      <w:r>
        <w:t xml:space="preserve"> </w:t>
      </w:r>
      <w:r>
        <w:rPr>
          <w:rStyle w:val="VerbatimChar"/>
        </w:rPr>
        <w:t xml:space="preserve">lastLogonTimestamp</w:t>
      </w:r>
      <w:r>
        <w:t xml:space="preserve">, which a domain controller updates only when the stored value is older than the current time minus</w:t>
      </w:r>
      <w:r>
        <w:t xml:space="preserve"> </w:t>
      </w:r>
      <w:r>
        <w:rPr>
          <w:rStyle w:val="VerbatimChar"/>
        </w:rPr>
        <w:t xml:space="preserve">msDS-LogonTimeSyncInterval</w:t>
      </w:r>
      <w:r>
        <w:t xml:space="preserve">; the default granularity means it can lag the true last logon by up to two weeks.</w:t>
      </w:r>
      <w:r>
        <w:rPr>
          <w:rStyle w:val="FootnoteReference"/>
        </w:rPr>
        <w:footnoteReference w:id="129"/>
      </w:r>
      <w:r>
        <w:t xml:space="preserve"> </w:t>
      </w:r>
      <w:r>
        <w:t xml:space="preserve">It’s accurate enough for a 90-day staleness test and not for a 7-day one. Use it together with</w:t>
      </w:r>
      <w:r>
        <w:t xml:space="preserve"> </w:t>
      </w:r>
      <w:r>
        <w:rPr>
          <w:rStyle w:val="VerbatimChar"/>
        </w:rPr>
        <w:t xml:space="preserve">PasswordLastSet</w:t>
      </w:r>
      <w:r>
        <w:t xml:space="preserve">, which a working domain member refreshes on its own, and treat a computer as stale only when both are old. Defender for Identity uses the same 90-day threshold for stale accounts.</w:t>
      </w:r>
      <w:r>
        <w:rPr>
          <w:rStyle w:val="FootnoteReference"/>
        </w:rPr>
        <w:footnoteReference w:id="132"/>
      </w:r>
    </w:p>
    <w:bookmarkEnd w:id="134"/>
    <w:bookmarkStart w:id="140" w:name="kerberos-delegation"/>
    <w:p>
      <w:pPr>
        <w:pStyle w:val="Heading3"/>
      </w:pPr>
      <w:r>
        <w:t xml:space="preserve">Kerberos delegation</w:t>
      </w:r>
    </w:p>
    <w:p>
      <w:pPr>
        <w:pStyle w:val="FirstParagraph"/>
      </w:pPr>
      <w:r>
        <w:t xml:space="preserve">Classify delegation by what’s actually set, in this order: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Attributes</w:t>
            </w:r>
          </w:p>
        </w:tc>
        <w:tc>
          <w:tcPr/>
          <w:p>
            <w:pPr>
              <w:pStyle w:val="Compact"/>
            </w:pPr>
            <w:r>
              <w:t xml:space="preserve">Classification</w:t>
            </w:r>
          </w:p>
        </w:tc>
      </w:tr>
      <w:tr>
        <w:tc>
          <w:tcPr/>
          <w:p>
            <w:pPr>
              <w:pStyle w:val="Compact"/>
            </w:pPr>
            <w:r>
              <w:rPr>
                <w:rStyle w:val="VerbatimChar"/>
              </w:rPr>
              <w:t xml:space="preserve">TrustedForDelegation</w:t>
            </w:r>
            <w:r>
              <w:t xml:space="preserve"> </w:t>
            </w:r>
            <w:r>
              <w:t xml:space="preserve">is true</w:t>
            </w:r>
          </w:p>
        </w:tc>
        <w:tc>
          <w:tcPr/>
          <w:p>
            <w:pPr>
              <w:pStyle w:val="Compact"/>
            </w:pPr>
            <w:r>
              <w:t xml:space="preserve">Unconstrained</w:t>
            </w:r>
          </w:p>
        </w:tc>
      </w:tr>
      <w:tr>
        <w:tc>
          <w:tcPr/>
          <w:p>
            <w:pPr>
              <w:pStyle w:val="Compact"/>
            </w:pPr>
            <w:r>
              <w:rPr>
                <w:rStyle w:val="VerbatimChar"/>
              </w:rPr>
              <w:t xml:space="preserve">msDS-AllowedToDelegateTo</w:t>
            </w:r>
            <w:r>
              <w:t xml:space="preserve"> </w:t>
            </w:r>
            <w:r>
              <w:t xml:space="preserve">set and</w:t>
            </w:r>
            <w:r>
              <w:t xml:space="preserve"> </w:t>
            </w:r>
            <w:r>
              <w:rPr>
                <w:rStyle w:val="VerbatimChar"/>
              </w:rPr>
              <w:t xml:space="preserve">TrustedToAuthForDelegation</w:t>
            </w:r>
            <w:r>
              <w:t xml:space="preserve"> </w:t>
            </w:r>
            <w:r>
              <w:t xml:space="preserve">true</w:t>
            </w:r>
          </w:p>
        </w:tc>
        <w:tc>
          <w:tcPr/>
          <w:p>
            <w:pPr>
              <w:pStyle w:val="Compact"/>
            </w:pPr>
            <w:r>
              <w:t xml:space="preserve">Constrained, with protocol transition</w:t>
            </w:r>
          </w:p>
        </w:tc>
      </w:tr>
      <w:tr>
        <w:tc>
          <w:tcPr/>
          <w:p>
            <w:pPr>
              <w:pStyle w:val="Compact"/>
            </w:pPr>
            <w:r>
              <w:rPr>
                <w:rStyle w:val="VerbatimChar"/>
              </w:rPr>
              <w:t xml:space="preserve">msDS-AllowedToDelegateTo</w:t>
            </w:r>
            <w:r>
              <w:t xml:space="preserve"> </w:t>
            </w:r>
            <w:r>
              <w:t xml:space="preserve">set</w:t>
            </w:r>
          </w:p>
        </w:tc>
        <w:tc>
          <w:tcPr/>
          <w:p>
            <w:pPr>
              <w:pStyle w:val="Compact"/>
            </w:pPr>
            <w:r>
              <w:t xml:space="preserve">Constrained, Kerberos only</w:t>
            </w:r>
          </w:p>
        </w:tc>
      </w:tr>
      <w:tr>
        <w:tc>
          <w:tcPr/>
          <w:p>
            <w:pPr>
              <w:pStyle w:val="Compact"/>
            </w:pPr>
            <w:r>
              <w:rPr>
                <w:rStyle w:val="VerbatimChar"/>
              </w:rPr>
              <w:t xml:space="preserve">PrincipalsAllowedToDelegateToAccount</w:t>
            </w:r>
            <w:r>
              <w:t xml:space="preserve"> </w:t>
            </w:r>
            <w:r>
              <w:t xml:space="preserve">set (resource side)</w:t>
            </w:r>
          </w:p>
        </w:tc>
        <w:tc>
          <w:tcPr/>
          <w:p>
            <w:pPr>
              <w:pStyle w:val="Compact"/>
            </w:pPr>
            <w:r>
              <w:t xml:space="preserve">Resource-based constrained</w:t>
            </w:r>
          </w:p>
        </w:tc>
      </w:tr>
    </w:tbl>
    <w:p>
      <w:pPr>
        <w:pStyle w:val="BodyText"/>
      </w:pPr>
      <w:r>
        <w:t xml:space="preserve">The source had two errors here. It labeled any account with</w:t>
      </w:r>
      <w:r>
        <w:t xml:space="preserve"> </w:t>
      </w:r>
      <w:r>
        <w:rPr>
          <w:rStyle w:val="VerbatimChar"/>
        </w:rPr>
        <w:t xml:space="preserve">TrustedToAuthForDelegation</w:t>
      </w:r>
      <w:r>
        <w:t xml:space="preserve"> </w:t>
      </w:r>
      <w:r>
        <w:t xml:space="preserve">“protocol transition”</w:t>
      </w:r>
      <w:r>
        <w:t xml:space="preserve"> </w:t>
      </w:r>
      <w:r>
        <w:t xml:space="preserve">even without a target list, and it missed resource-based constrained delegation entirely. Resource-based delegation is configured on the resource, in</w:t>
      </w:r>
      <w:r>
        <w:t xml:space="preserve"> </w:t>
      </w:r>
      <w:r>
        <w:rPr>
          <w:rStyle w:val="VerbatimChar"/>
        </w:rPr>
        <w:t xml:space="preserve">msDS-AllowedToActOnBehalfOfOtherIdentity</w:t>
      </w:r>
      <w:r>
        <w:t xml:space="preserve">, which the ActiveDirectory module exposes as</w:t>
      </w:r>
      <w:r>
        <w:t xml:space="preserve"> </w:t>
      </w:r>
      <w:r>
        <w:rPr>
          <w:rStyle w:val="VerbatimChar"/>
        </w:rPr>
        <w:t xml:space="preserve">PrincipalsAllowedToDelegateToAccount</w:t>
      </w:r>
      <w:r>
        <w:t xml:space="preserve">.</w:t>
      </w:r>
      <w:r>
        <w:rPr>
          <w:rStyle w:val="FootnoteReference"/>
        </w:rPr>
        <w:footnoteReference w:id="135"/>
      </w:r>
      <w:r>
        <w:rPr>
          <w:rStyle w:val="FootnoteReference"/>
        </w:rPr>
        <w:footnoteReference w:id="137"/>
      </w:r>
    </w:p>
    <w:p>
      <w:pPr>
        <w:pStyle w:val="BodyText"/>
      </w:pPr>
      <w:r>
        <w:t xml:space="preserve">Unconstrained delegation lets a service impersonate any user who authenticates to it, to any service. Microsoft calls it less secure than CredSSP, and Defender for Identity reports it as unsecure Kerberos delegation on non-domain-controller entities.</w:t>
      </w:r>
      <w:r>
        <w:rPr>
          <w:rStyle w:val="FootnoteReference"/>
        </w:rPr>
        <w:footnoteReference w:id="138"/>
      </w:r>
      <w:r>
        <w:rPr>
          <w:rStyle w:val="FootnoteReference"/>
        </w:rPr>
        <w:footnoteReference w:id="139"/>
      </w:r>
      <w:r>
        <w:t xml:space="preserve"> </w:t>
      </w:r>
      <w:r>
        <w:t xml:space="preserve">Domain controllers are expected to have it, so exclude them from the finding, as Defender for Identity does; every other unconstrained entry becomes a critical issue.</w:t>
      </w:r>
    </w:p>
    <w:bookmarkEnd w:id="140"/>
    <w:bookmarkEnd w:id="141"/>
    <w:bookmarkStart w:id="160" w:name="users-groups-and-service-accounts"/>
    <w:p>
      <w:pPr>
        <w:pStyle w:val="Heading2"/>
      </w:pPr>
      <w:r>
        <w:t xml:space="preserve">Users, groups and service accounts</w:t>
      </w:r>
    </w:p>
    <w:bookmarkStart w:id="148" w:name="privileged-users"/>
    <w:p>
      <w:pPr>
        <w:pStyle w:val="Heading3"/>
      </w:pPr>
      <w:r>
        <w:t xml:space="preserve">Privileged users</w:t>
      </w:r>
    </w:p>
    <w:p>
      <w:pPr>
        <w:pStyle w:val="FirstParagraph"/>
      </w:pPr>
      <w:r>
        <w:t xml:space="preserve">Expand the membership of the privileged groups recursively: Domain Admins, Enterprise Admins, Schema Admins, Administrators, Account Operators, Server Operators, Backup Operators and Print Operators. Each of these is in Microsoft’s list of privileged on-premises groups.</w:t>
      </w:r>
      <w:r>
        <w:rPr>
          <w:rStyle w:val="FootnoteReference"/>
        </w:rPr>
        <w:footnoteReference w:id="142"/>
      </w:r>
      <w:r>
        <w:t xml:space="preserve"> </w:t>
      </w:r>
      <w:r>
        <w:t xml:space="preserve">Record enabled state, last logon and password age for each member.</w:t>
      </w:r>
    </w:p>
    <w:p>
      <w:pPr>
        <w:pStyle w:val="BodyText"/>
      </w:pPr>
      <w:r>
        <w:t xml:space="preserve">Then cross-check against AdminSDHolder. Every 60 minutes, the SDProp process on the PDC emulator resets the permissions on protected accounts and groups to match the AdminSDHolder object.</w:t>
      </w:r>
      <w:r>
        <w:rPr>
          <w:rStyle w:val="FootnoteReference"/>
        </w:rPr>
        <w:footnoteReference w:id="144"/>
      </w:r>
      <w:r>
        <w:t xml:space="preserve"> </w:t>
      </w:r>
      <w:r>
        <w:t xml:space="preserve">When an account leaves a protected group, its</w:t>
      </w:r>
      <w:r>
        <w:t xml:space="preserve"> </w:t>
      </w:r>
      <w:r>
        <w:rPr>
          <w:rStyle w:val="VerbatimChar"/>
        </w:rPr>
        <w:t xml:space="preserve">adminCount</w:t>
      </w:r>
      <w:r>
        <w:t xml:space="preserve"> </w:t>
      </w:r>
      <w:r>
        <w:t xml:space="preserve">stays at 1 unless someone clears it, and the account keeps inheritance disabled, so delegated OU permissions no longer reach it.</w:t>
      </w:r>
      <w:r>
        <w:rPr>
          <w:rStyle w:val="FootnoteReference"/>
        </w:rPr>
        <w:footnoteReference w:id="146"/>
      </w:r>
      <w:r>
        <w:t xml:space="preserve"> </w:t>
      </w:r>
      <w:r>
        <w:t xml:space="preserve">The assessment reports those</w:t>
      </w:r>
      <w:r>
        <w:t xml:space="preserve"> </w:t>
      </w:r>
      <w:r>
        <w:rPr>
          <w:i/>
          <w:iCs/>
        </w:rPr>
        <w:t xml:space="preserve">orphaned</w:t>
      </w:r>
      <w:r>
        <w:t xml:space="preserve"> </w:t>
      </w:r>
      <w:r>
        <w:rPr>
          <w:rStyle w:val="VerbatimChar"/>
        </w:rPr>
        <w:t xml:space="preserve">adminCount=1</w:t>
      </w:r>
      <w:r>
        <w:t xml:space="preserve"> </w:t>
      </w:r>
      <w:r>
        <w:t xml:space="preserve">accounts. The check has to use recursive membership; a direct</w:t>
      </w:r>
      <w:r>
        <w:t xml:space="preserve"> </w:t>
      </w:r>
      <w:r>
        <w:rPr>
          <w:rStyle w:val="VerbatimChar"/>
        </w:rPr>
        <w:t xml:space="preserve">MemberOf</w:t>
      </w:r>
      <w:r>
        <w:t xml:space="preserve"> </w:t>
      </w:r>
      <w:r>
        <w:t xml:space="preserve">match, which the source used, misses nested membership and over-reports orphans.</w:t>
      </w:r>
    </w:p>
    <w:bookmarkEnd w:id="148"/>
    <w:bookmarkStart w:id="153" w:name="service-accounts"/>
    <w:p>
      <w:pPr>
        <w:pStyle w:val="Heading3"/>
      </w:pPr>
      <w:r>
        <w:t xml:space="preserve">Service accounts</w:t>
      </w:r>
    </w:p>
    <w:p>
      <w:pPr>
        <w:pStyle w:val="FirstParagraph"/>
      </w:pPr>
      <w:r>
        <w:t xml:space="preserve">Service accounts come in four kinds, and the inventory records all of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Kind</w:t>
            </w:r>
          </w:p>
        </w:tc>
        <w:tc>
          <w:tcPr/>
          <w:p>
            <w:pPr>
              <w:pStyle w:val="Compact"/>
            </w:pPr>
            <w:r>
              <w:t xml:space="preserve">How to find it</w:t>
            </w:r>
          </w:p>
        </w:tc>
        <w:tc>
          <w:tcPr/>
          <w:p>
            <w:pPr>
              <w:pStyle w:val="Compact"/>
            </w:pPr>
            <w:r>
              <w:t xml:space="preserve">Migration note</w:t>
            </w:r>
          </w:p>
        </w:tc>
      </w:tr>
      <w:tr>
        <w:tc>
          <w:tcPr/>
          <w:p>
            <w:pPr>
              <w:pStyle w:val="Compact"/>
            </w:pPr>
            <w:r>
              <w:t xml:space="preserve">User account with SPNs</w:t>
            </w:r>
          </w:p>
        </w:tc>
        <w:tc>
          <w:tcPr/>
          <w:p>
            <w:pPr>
              <w:pStyle w:val="Compact"/>
            </w:pPr>
            <w:r>
              <w:rPr>
                <w:rStyle w:val="VerbatimChar"/>
              </w:rPr>
              <w:t xml:space="preserve">Get-ADUser</w:t>
            </w:r>
            <w:r>
              <w:t xml:space="preserve"> </w:t>
            </w:r>
            <w:r>
              <w:t xml:space="preserve">where</w:t>
            </w:r>
            <w:r>
              <w:t xml:space="preserve"> </w:t>
            </w:r>
            <w:r>
              <w:rPr>
                <w:rStyle w:val="VerbatimChar"/>
              </w:rPr>
              <w:t xml:space="preserve">ServicePrincipalName</w:t>
            </w:r>
            <w:r>
              <w:t xml:space="preserve"> </w:t>
            </w:r>
            <w:r>
              <w:t xml:space="preserve">is set</w:t>
            </w:r>
          </w:p>
        </w:tc>
        <w:tc>
          <w:tcPr/>
          <w:p>
            <w:pPr>
              <w:pStyle w:val="Compact"/>
            </w:pPr>
            <w:r>
              <w:t xml:space="preserve">Kerberoastable; highest priority to replace</w:t>
            </w:r>
          </w:p>
        </w:tc>
      </w:tr>
      <w:tr>
        <w:tc>
          <w:tcPr/>
          <w:p>
            <w:pPr>
              <w:pStyle w:val="Compact"/>
            </w:pPr>
            <w:r>
              <w:t xml:space="preserve">Standalone MSA</w:t>
            </w:r>
          </w:p>
        </w:tc>
        <w:tc>
          <w:tcPr/>
          <w:p>
            <w:pPr>
              <w:pStyle w:val="Compact"/>
            </w:pPr>
            <w:r>
              <w:rPr>
                <w:rStyle w:val="VerbatimChar"/>
              </w:rPr>
              <w:t xml:space="preserve">Get-ADServiceAccount</w:t>
            </w:r>
          </w:p>
        </w:tc>
        <w:tc>
          <w:tcPr/>
          <w:p>
            <w:pPr>
              <w:pStyle w:val="Compact"/>
            </w:pPr>
            <w:r>
              <w:t xml:space="preserve">Single computer; password managed by the computer</w:t>
            </w:r>
          </w:p>
        </w:tc>
      </w:tr>
      <w:tr>
        <w:tc>
          <w:tcPr/>
          <w:p>
            <w:pPr>
              <w:pStyle w:val="Compact"/>
            </w:pPr>
            <w:r>
              <w:t xml:space="preserve">Group MSA (gMSA)</w:t>
            </w:r>
          </w:p>
        </w:tc>
        <w:tc>
          <w:tcPr/>
          <w:p>
            <w:pPr>
              <w:pStyle w:val="Compact"/>
            </w:pPr>
            <w:r>
              <w:rPr>
                <w:rStyle w:val="VerbatimChar"/>
              </w:rPr>
              <w:t xml:space="preserve">Get-ADServiceAccount</w:t>
            </w:r>
          </w:p>
        </w:tc>
        <w:tc>
          <w:tcPr/>
          <w:p>
            <w:pPr>
              <w:pStyle w:val="Compact"/>
            </w:pPr>
            <w:r>
              <w:t xml:space="preserve">Multiple servers; password managed by the domain</w:t>
            </w:r>
          </w:p>
        </w:tc>
      </w:tr>
      <w:tr>
        <w:tc>
          <w:tcPr/>
          <w:p>
            <w:pPr>
              <w:pStyle w:val="Compact"/>
            </w:pPr>
            <w:r>
              <w:t xml:space="preserve">Delegated MSA (dMSA)</w:t>
            </w:r>
          </w:p>
        </w:tc>
        <w:tc>
          <w:tcPr/>
          <w:p>
            <w:pPr>
              <w:pStyle w:val="Compact"/>
            </w:pPr>
            <w:r>
              <w:rPr>
                <w:rStyle w:val="VerbatimChar"/>
              </w:rPr>
              <w:t xml:space="preserve">Get-ADServiceAccount</w:t>
            </w:r>
          </w:p>
        </w:tc>
        <w:tc>
          <w:tcPr/>
          <w:p>
            <w:pPr>
              <w:pStyle w:val="Compact"/>
            </w:pPr>
            <w:r>
              <w:t xml:space="preserve">Windows Server 2025 domains only</w:t>
            </w:r>
          </w:p>
        </w:tc>
      </w:tr>
    </w:tbl>
    <w:p>
      <w:pPr>
        <w:pStyle w:val="BodyText"/>
      </w:pPr>
      <w:r>
        <w:t xml:space="preserve">A dMSA is the Windows Server 2025 account type that replaces a traditional service account with a machine-bound managed identity and disables the original account’s password, which defends against Kerberoasting.</w:t>
      </w:r>
      <w:r>
        <w:rPr>
          <w:rStyle w:val="FootnoteReference"/>
        </w:rPr>
        <w:footnoteReference w:id="149"/>
      </w:r>
      <w:r>
        <w:t xml:space="preserve"> </w:t>
      </w:r>
      <w:r>
        <w:t xml:space="preserve">gMSAs remain the default for services that run on more than one server.</w:t>
      </w:r>
      <w:r>
        <w:rPr>
          <w:rStyle w:val="FootnoteReference"/>
        </w:rPr>
        <w:footnoteReference w:id="151"/>
      </w:r>
      <w:r>
        <w:t xml:space="preserve"> </w:t>
      </w:r>
      <w:r>
        <w:t xml:space="preserve">Record the raw</w:t>
      </w:r>
      <w:r>
        <w:t xml:space="preserve"> </w:t>
      </w:r>
      <w:r>
        <w:rPr>
          <w:rStyle w:val="VerbatimChar"/>
        </w:rPr>
        <w:t xml:space="preserve">ObjectClass</w:t>
      </w:r>
      <w:r>
        <w:t xml:space="preserve"> </w:t>
      </w:r>
      <w:r>
        <w:t xml:space="preserve">that</w:t>
      </w:r>
      <w:r>
        <w:t xml:space="preserve"> </w:t>
      </w:r>
      <w:r>
        <w:rPr>
          <w:rStyle w:val="VerbatimChar"/>
        </w:rPr>
        <w:t xml:space="preserve">Get-ADServiceAccount</w:t>
      </w:r>
      <w:r>
        <w:t xml:space="preserve"> </w:t>
      </w:r>
      <w:r>
        <w:t xml:space="preserve">returns rather than guessing the type from the name.</w:t>
      </w:r>
    </w:p>
    <w:p>
      <w:pPr>
        <w:pStyle w:val="BodyText"/>
      </w:pPr>
      <w:r>
        <w:t xml:space="preserve">The source mapped service accounts to</w:t>
      </w:r>
      <w:r>
        <w:t xml:space="preserve"> </w:t>
      </w:r>
      <w:r>
        <w:t xml:space="preserve">“gMSA or managed identities.”</w:t>
      </w:r>
      <w:r>
        <w:t xml:space="preserve"> </w:t>
      </w:r>
      <w:r>
        <w:t xml:space="preserve">Managed identities are an Azure resource feature and outside this program’s boundary. For workloads that stay on premises the target is a gMSA or dMSA; for workloads that move to cloud services, the target is a Microsoft Entra workload identity, which</w:t>
      </w:r>
      <w:r>
        <w:t xml:space="preserve"> </w:t>
      </w:r>
      <w:hyperlink r:id="rId14">
        <w:r>
          <w:rPr>
            <w:rStyle w:val="Hyperlink"/>
          </w:rPr>
          <w:t xml:space="preserve">Chapter 09</w:t>
        </w:r>
      </w:hyperlink>
      <w:r>
        <w:t xml:space="preserve"> </w:t>
      </w:r>
      <w:r>
        <w:t xml:space="preserve">covers.</w:t>
      </w:r>
    </w:p>
    <w:bookmarkEnd w:id="153"/>
    <w:bookmarkStart w:id="159" w:name="groups"/>
    <w:p>
      <w:pPr>
        <w:pStyle w:val="Heading3"/>
      </w:pPr>
      <w:r>
        <w:t xml:space="preserve">Groups</w:t>
      </w:r>
    </w:p>
    <w:p>
      <w:pPr>
        <w:pStyle w:val="FirstParagraph"/>
      </w:pPr>
      <w:r>
        <w:t xml:space="preserve">The group inventory records category (security or distribution), scope (domain local, global, universal),</w:t>
      </w:r>
      <w:r>
        <w:t xml:space="preserve"> </w:t>
      </w:r>
      <w:r>
        <w:rPr>
          <w:rStyle w:val="VerbatimChar"/>
        </w:rPr>
        <w:t xml:space="preserve">ManagedBy</w:t>
      </w:r>
      <w:r>
        <w:t xml:space="preserve">,</w:t>
      </w:r>
      <w:r>
        <w:t xml:space="preserve"> </w:t>
      </w:r>
      <w:r>
        <w:rPr>
          <w:rStyle w:val="VerbatimChar"/>
        </w:rPr>
        <w:t xml:space="preserve">adminCount</w:t>
      </w:r>
      <w:r>
        <w:t xml:space="preserve"> </w:t>
      </w:r>
      <w:r>
        <w:t xml:space="preserve">and direct member count, and flags empty groups and circular nesting. Two limits matter in large forests:</w:t>
      </w:r>
    </w:p>
    <w:p>
      <w:pPr>
        <w:pStyle w:val="Compact"/>
        <w:numPr>
          <w:ilvl w:val="0"/>
          <w:numId w:val="1006"/>
        </w:numPr>
      </w:pPr>
      <w:r>
        <w:t xml:space="preserve">A domain controller returns at most 5,000 values of a multivalued attribute such as</w:t>
      </w:r>
      <w:r>
        <w:t xml:space="preserve"> </w:t>
      </w:r>
      <w:r>
        <w:rPr>
          <w:rStyle w:val="VerbatimChar"/>
        </w:rPr>
        <w:t xml:space="preserve">member</w:t>
      </w:r>
      <w:r>
        <w:t xml:space="preserve"> </w:t>
      </w:r>
      <w:r>
        <w:t xml:space="preserve">in one LDAP response, so very large group counts need ranged retrieval or a recursive member query to be accurate.</w:t>
      </w:r>
      <w:r>
        <w:rPr>
          <w:rStyle w:val="FootnoteReference"/>
        </w:rPr>
        <w:footnoteReference w:id="154"/>
      </w:r>
    </w:p>
    <w:p>
      <w:pPr>
        <w:pStyle w:val="Compact"/>
        <w:numPr>
          <w:ilvl w:val="0"/>
          <w:numId w:val="1006"/>
        </w:numPr>
      </w:pPr>
      <w:r>
        <w:t xml:space="preserve">A security principal can be a member of at most 1,015 groups, because of the access token size limit; accounts near that limit will have authentication problems before and after migration.</w:t>
      </w:r>
      <w:r>
        <w:rPr>
          <w:rStyle w:val="FootnoteReference"/>
        </w:rPr>
        <w:footnoteReference w:id="156"/>
      </w:r>
    </w:p>
    <w:p>
      <w:pPr>
        <w:pStyle w:val="FirstParagraph"/>
      </w:pPr>
      <w:r>
        <w:t xml:space="preserve">The group and user inventories feed the identity design in</w:t>
      </w:r>
      <w:r>
        <w:t xml:space="preserve"> </w:t>
      </w:r>
      <w:hyperlink r:id="rId14">
        <w:r>
          <w:rPr>
            <w:rStyle w:val="Hyperlink"/>
          </w:rPr>
          <w:t xml:space="preserve">Chapter 09</w:t>
        </w:r>
      </w:hyperlink>
      <w:r>
        <w:t xml:space="preserve"> </w:t>
      </w:r>
      <w:r>
        <w:t xml:space="preserve">and the access reviews in</w:t>
      </w:r>
      <w:r>
        <w:t xml:space="preserve"> </w:t>
      </w:r>
      <w:hyperlink r:id="rId158">
        <w:r>
          <w:rPr>
            <w:rStyle w:val="Hyperlink"/>
          </w:rPr>
          <w:t xml:space="preserve">Chapter 10</w:t>
        </w:r>
      </w:hyperlink>
      <w:r>
        <w:t xml:space="preserve">.</w:t>
      </w:r>
    </w:p>
    <w:bookmarkEnd w:id="159"/>
    <w:bookmarkEnd w:id="160"/>
    <w:bookmarkStart w:id="175" w:name="trust-relationships"/>
    <w:p>
      <w:pPr>
        <w:pStyle w:val="Heading2"/>
      </w:pPr>
      <w:r>
        <w:t xml:space="preserve">Trust relationships</w:t>
      </w:r>
    </w:p>
    <w:p>
      <w:pPr>
        <w:pStyle w:val="FirstParagraph"/>
      </w:pPr>
      <w:r>
        <w:t xml:space="preserve">Each trust is a trusted domain object in the System container of its domain, carrying the partner’s DNS name, SID, trust type and transitivity.</w:t>
      </w:r>
      <w:r>
        <w:rPr>
          <w:rStyle w:val="FootnoteReference"/>
        </w:rPr>
        <w:footnoteReference w:id="161"/>
      </w:r>
      <w:r>
        <w:t xml:space="preserve"> </w:t>
      </w:r>
      <w:r>
        <w:rPr>
          <w:rStyle w:val="VerbatimChar"/>
        </w:rPr>
        <w:t xml:space="preserve">Get-ADTrust -Filter *</w:t>
      </w:r>
      <w:r>
        <w:t xml:space="preserve"> </w:t>
      </w:r>
      <w:r>
        <w:t xml:space="preserve">returns them all.</w:t>
      </w:r>
      <w:r>
        <w:rPr>
          <w:rStyle w:val="FootnoteReference"/>
        </w:rPr>
        <w:footnoteReference w:id="163"/>
      </w:r>
      <w:r>
        <w:t xml:space="preserve"> </w:t>
      </w:r>
      <w:r>
        <w:t xml:space="preserve">Decode</w:t>
      </w:r>
      <w:r>
        <w:t xml:space="preserve"> </w:t>
      </w:r>
      <w:r>
        <w:rPr>
          <w:rStyle w:val="VerbatimChar"/>
        </w:rPr>
        <w:t xml:space="preserve">trustAttributes</w:t>
      </w:r>
      <w:r>
        <w:t xml:space="preserve"> </w:t>
      </w:r>
      <w:r>
        <w:t xml:space="preserve">from the published bit values rather than from memory: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Bit</w:t>
            </w:r>
          </w:p>
        </w:tc>
        <w:tc>
          <w:tcPr/>
          <w:p>
            <w:pPr>
              <w:pStyle w:val="Compact"/>
            </w:pPr>
            <w:r>
              <w:t xml:space="preserve">Name</w:t>
            </w:r>
          </w:p>
        </w:tc>
        <w:tc>
          <w:tcPr/>
          <w:p>
            <w:pPr>
              <w:pStyle w:val="Compact"/>
            </w:pPr>
            <w:r>
              <w:t xml:space="preserve">Meaning</w:t>
            </w:r>
          </w:p>
        </w:tc>
      </w:tr>
      <w:tr>
        <w:tc>
          <w:tcPr/>
          <w:p>
            <w:pPr>
              <w:pStyle w:val="Compact"/>
            </w:pPr>
            <w:r>
              <w:rPr>
                <w:rStyle w:val="VerbatimChar"/>
              </w:rPr>
              <w:t xml:space="preserve">0x1</w:t>
            </w:r>
          </w:p>
        </w:tc>
        <w:tc>
          <w:tcPr/>
          <w:p>
            <w:pPr>
              <w:pStyle w:val="Compact"/>
            </w:pPr>
            <w:r>
              <w:t xml:space="preserve">Non-transitive</w:t>
            </w:r>
          </w:p>
        </w:tc>
        <w:tc>
          <w:tcPr/>
          <w:p>
            <w:pPr>
              <w:pStyle w:val="Compact"/>
            </w:pPr>
            <w:r>
              <w:t xml:space="preserve">The trust can’t be used transitively</w:t>
            </w:r>
          </w:p>
        </w:tc>
      </w:tr>
      <w:tr>
        <w:tc>
          <w:tcPr/>
          <w:p>
            <w:pPr>
              <w:pStyle w:val="Compact"/>
            </w:pPr>
            <w:r>
              <w:rPr>
                <w:rStyle w:val="VerbatimChar"/>
              </w:rPr>
              <w:t xml:space="preserve">0x2</w:t>
            </w:r>
          </w:p>
        </w:tc>
        <w:tc>
          <w:tcPr/>
          <w:p>
            <w:pPr>
              <w:pStyle w:val="Compact"/>
            </w:pPr>
            <w:r>
              <w:t xml:space="preserve">Uplevel only</w:t>
            </w:r>
          </w:p>
        </w:tc>
        <w:tc>
          <w:tcPr/>
          <w:p>
            <w:pPr>
              <w:pStyle w:val="Compact"/>
            </w:pPr>
            <w:r>
              <w:t xml:space="preserve">Only Windows 2000 and later clients can use it</w:t>
            </w:r>
          </w:p>
        </w:tc>
      </w:tr>
      <w:tr>
        <w:tc>
          <w:tcPr/>
          <w:p>
            <w:pPr>
              <w:pStyle w:val="Compact"/>
            </w:pPr>
            <w:r>
              <w:rPr>
                <w:rStyle w:val="VerbatimChar"/>
              </w:rPr>
              <w:t xml:space="preserve">0x4</w:t>
            </w:r>
          </w:p>
        </w:tc>
        <w:tc>
          <w:tcPr/>
          <w:p>
            <w:pPr>
              <w:pStyle w:val="Compact"/>
            </w:pPr>
            <w:r>
              <w:t xml:space="preserve">Quarantined domain</w:t>
            </w:r>
          </w:p>
        </w:tc>
        <w:tc>
          <w:tcPr/>
          <w:p>
            <w:pPr>
              <w:pStyle w:val="Compact"/>
            </w:pPr>
            <w:r>
              <w:t xml:space="preserve">SID filtering applies</w:t>
            </w:r>
          </w:p>
        </w:tc>
      </w:tr>
      <w:tr>
        <w:tc>
          <w:tcPr/>
          <w:p>
            <w:pPr>
              <w:pStyle w:val="Compact"/>
            </w:pPr>
            <w:r>
              <w:rPr>
                <w:rStyle w:val="VerbatimChar"/>
              </w:rPr>
              <w:t xml:space="preserve">0x8</w:t>
            </w:r>
          </w:p>
        </w:tc>
        <w:tc>
          <w:tcPr/>
          <w:p>
            <w:pPr>
              <w:pStyle w:val="Compact"/>
            </w:pPr>
            <w:r>
              <w:t xml:space="preserve">Forest transitive</w:t>
            </w:r>
          </w:p>
        </w:tc>
        <w:tc>
          <w:tcPr/>
          <w:p>
            <w:pPr>
              <w:pStyle w:val="Compact"/>
            </w:pPr>
            <w:r>
              <w:t xml:space="preserve">A cross-forest trust between forest root domains</w:t>
            </w:r>
          </w:p>
        </w:tc>
      </w:tr>
      <w:tr>
        <w:tc>
          <w:tcPr/>
          <w:p>
            <w:pPr>
              <w:pStyle w:val="Compact"/>
            </w:pPr>
            <w:r>
              <w:rPr>
                <w:rStyle w:val="VerbatimChar"/>
              </w:rPr>
              <w:t xml:space="preserve">0x10</w:t>
            </w:r>
          </w:p>
        </w:tc>
        <w:tc>
          <w:tcPr/>
          <w:p>
            <w:pPr>
              <w:pStyle w:val="Compact"/>
            </w:pPr>
            <w:r>
              <w:t xml:space="preserve">Cross-organization</w:t>
            </w:r>
          </w:p>
        </w:tc>
        <w:tc>
          <w:tcPr/>
          <w:p>
            <w:pPr>
              <w:pStyle w:val="Compact"/>
            </w:pPr>
            <w:r>
              <w:t xml:space="preserve">The partner isn’t part of the organization</w:t>
            </w:r>
          </w:p>
        </w:tc>
      </w:tr>
      <w:tr>
        <w:tc>
          <w:tcPr/>
          <w:p>
            <w:pPr>
              <w:pStyle w:val="Compact"/>
            </w:pPr>
            <w:r>
              <w:rPr>
                <w:rStyle w:val="VerbatimChar"/>
              </w:rPr>
              <w:t xml:space="preserve">0x20</w:t>
            </w:r>
          </w:p>
        </w:tc>
        <w:tc>
          <w:tcPr/>
          <w:p>
            <w:pPr>
              <w:pStyle w:val="Compact"/>
            </w:pPr>
            <w:r>
              <w:t xml:space="preserve">Within forest</w:t>
            </w:r>
          </w:p>
        </w:tc>
        <w:tc>
          <w:tcPr/>
          <w:p>
            <w:pPr>
              <w:pStyle w:val="Compact"/>
            </w:pPr>
            <w:r>
              <w:t xml:space="preserve">The partner is in the same forest</w:t>
            </w:r>
          </w:p>
        </w:tc>
      </w:tr>
      <w:tr>
        <w:tc>
          <w:tcPr/>
          <w:p>
            <w:pPr>
              <w:pStyle w:val="Compact"/>
            </w:pPr>
            <w:r>
              <w:rPr>
                <w:rStyle w:val="VerbatimChar"/>
              </w:rPr>
              <w:t xml:space="preserve">0x40</w:t>
            </w:r>
          </w:p>
        </w:tc>
        <w:tc>
          <w:tcPr/>
          <w:p>
            <w:pPr>
              <w:pStyle w:val="Compact"/>
            </w:pPr>
            <w:r>
              <w:t xml:space="preserve">Treat as external</w:t>
            </w:r>
          </w:p>
        </w:tc>
        <w:tc>
          <w:tcPr/>
          <w:p>
            <w:pPr>
              <w:pStyle w:val="Compact"/>
            </w:pPr>
            <w:r>
              <w:t xml:space="preserve">A forest trust filtered as if it were external</w:t>
            </w:r>
          </w:p>
        </w:tc>
      </w:tr>
    </w:tbl>
    <w:p>
      <w:pPr>
        <w:pStyle w:val="BodyText"/>
      </w:pPr>
      <w:r>
        <w:t xml:space="preserve">The values come from the Active Directory technical specification, which also defines later bits for AES keys, RC4, PIM trusts and TGT delegation control.</w:t>
      </w:r>
      <w:r>
        <w:rPr>
          <w:rStyle w:val="FootnoteReference"/>
        </w:rPr>
        <w:footnoteReference w:id="165"/>
      </w:r>
      <w:r>
        <w:t xml:space="preserve"> </w:t>
      </w:r>
      <w:r>
        <w:t xml:space="preserve">Record the raw value as well as the decoded list, so that bits added later aren’t lost.</w:t>
      </w:r>
    </w:p>
    <w:bookmarkStart w:id="169" w:name="direction-and-posture"/>
    <w:p>
      <w:pPr>
        <w:pStyle w:val="Heading3"/>
      </w:pPr>
      <w:r>
        <w:t xml:space="preserve">Direction and posture</w:t>
      </w:r>
    </w:p>
    <w:p>
      <w:pPr>
        <w:pStyle w:val="FirstParagraph"/>
      </w:pPr>
      <w:r>
        <w:t xml:space="preserve">Trust direction is relative, and access flows the opposite way to trust: members of the trusted domain can reach resources in the trusting domain. Seen from one domain, an inbound (incoming) trust lets this domain’s users reach resources in the partner, and an outbound (outgoing) trust lets the partner’s users reach resources here.</w:t>
      </w:r>
      <w:r>
        <w:rPr>
          <w:rStyle w:val="FootnoteReference"/>
        </w:rPr>
        <w:footnoteReference w:id="167"/>
      </w:r>
      <w:r>
        <w:t xml:space="preserve"> </w:t>
      </w:r>
      <w:r>
        <w:t xml:space="preserve">The source’s direction analysis had this reversed: it said an inbound trust lets users</w:t>
      </w:r>
      <w:r>
        <w:t xml:space="preserve"> </w:t>
      </w:r>
      <w:r>
        <w:rPr>
          <w:i/>
          <w:iCs/>
        </w:rPr>
        <w:t xml:space="preserve">of the partner</w:t>
      </w:r>
      <w:r>
        <w:t xml:space="preserve"> </w:t>
      </w:r>
      <w:r>
        <w:t xml:space="preserve">authenticate here. For each trust, the assessment states plainly which side’s users can reach which side’s resources, then rates the posture: selective authentication on is hardened, SID filtering on is standard, neither is a finding.</w:t>
      </w:r>
    </w:p>
    <w:bookmarkEnd w:id="169"/>
    <w:bookmarkStart w:id="174" w:name="verification"/>
    <w:p>
      <w:pPr>
        <w:pStyle w:val="Heading3"/>
      </w:pPr>
      <w:r>
        <w:t xml:space="preserve">Verification</w:t>
      </w:r>
    </w:p>
    <w:p>
      <w:pPr>
        <w:pStyle w:val="FirstParagraph"/>
      </w:pPr>
      <w:r>
        <w:t xml:space="preserve">The source’s verification called</w:t>
      </w:r>
      <w:r>
        <w:t xml:space="preserve"> </w:t>
      </w:r>
      <w:r>
        <w:rPr>
          <w:rStyle w:val="VerbatimChar"/>
        </w:rPr>
        <w:t xml:space="preserve">Test-ADTrust</w:t>
      </w:r>
      <w:r>
        <w:t xml:space="preserve">, which isn’t a cmdlet in the ActiveDirectory module.</w:t>
      </w:r>
      <w:r>
        <w:rPr>
          <w:rStyle w:val="FootnoteReference"/>
        </w:rPr>
        <w:footnoteReference w:id="170"/>
      </w:r>
      <w:r>
        <w:t xml:space="preserve"> </w:t>
      </w:r>
      <w:r>
        <w:t xml:space="preserve">Use</w:t>
      </w:r>
      <w:r>
        <w:t xml:space="preserve"> </w:t>
      </w:r>
      <w:r>
        <w:rPr>
          <w:rStyle w:val="VerbatimChar"/>
        </w:rPr>
        <w:t xml:space="preserve">netdom trust &lt;trusting domain&gt; /domain:&lt;trusted domain&gt; /verify</w:t>
      </w:r>
      <w:r>
        <w:t xml:space="preserve">, which verifies the secure channel secrets for the trust, or</w:t>
      </w:r>
      <w:r>
        <w:t xml:space="preserve"> </w:t>
      </w:r>
      <w:r>
        <w:rPr>
          <w:rStyle w:val="VerbatimChar"/>
        </w:rPr>
        <w:t xml:space="preserve">netdom query trust /verify</w:t>
      </w:r>
      <w:r>
        <w:t xml:space="preserve"> </w:t>
      </w:r>
      <w:r>
        <w:t xml:space="preserve">to check every outbound trust.</w:t>
      </w:r>
      <w:r>
        <w:rPr>
          <w:rStyle w:val="FootnoteReference"/>
        </w:rPr>
        <w:footnoteReference w:id="171"/>
      </w:r>
      <w:r>
        <w:t xml:space="preserve"> </w:t>
      </w:r>
      <w:r>
        <w:t xml:space="preserve">Both need administrative credentials for accurate results, so verification runs as its own elevated step, not inside the scheduled collection.</w:t>
      </w:r>
    </w:p>
    <w:p>
      <w:pPr>
        <w:pStyle w:val="BodyText"/>
      </w:pPr>
      <w:r>
        <w:t xml:space="preserve">Forest trusts often record partner relationships that will need a cloud equivalent. In Entra ID, the partner relationship is governed by cross-tenant access settings, which control inbound and outbound B2B collaboration and B2B direct connect with other Microsoft Entra organizations.</w:t>
      </w:r>
      <w:r>
        <w:rPr>
          <w:rStyle w:val="FootnoteReference"/>
        </w:rPr>
        <w:footnoteReference w:id="172"/>
      </w:r>
      <w:r>
        <w:t xml:space="preserve"> </w:t>
      </w:r>
      <w:r>
        <w:t xml:space="preserve">A forest trust doesn’t convert into a cross-tenant setting; it identifies a partner whose access has to be redesigned.</w:t>
      </w:r>
    </w:p>
    <w:bookmarkEnd w:id="174"/>
    <w:bookmarkEnd w:id="175"/>
    <w:bookmarkStart w:id="186" w:name="the-assessment-pipeline"/>
    <w:p>
      <w:pPr>
        <w:pStyle w:val="Heading2"/>
      </w:pPr>
      <w:r>
        <w:t xml:space="preserve">The assessment pipeline</w:t>
      </w:r>
    </w:p>
    <w:tbl>
      <w:tblPr>
        <w:tblStyle w:val="Table"/>
        <w:tblW w:type="pct" w:w="5000"/>
        <w:tblLayout w:type="fixed"/>
        <w:tblLook w:firstRow="0" w:lastRow="0" w:firstColumn="0" w:lastColumn="0" w:noHBand="0" w:noVBand="0" w:val="0000"/>
      </w:tblPr>
      <w:tblGrid>
        <w:gridCol w:w="7920"/>
      </w:tblGrid>
      <w:tr>
        <w:tc>
          <w:tcPr/>
          <w:bookmarkStart w:id="179" w:name="fig-ch08-assessment-pipeline"/>
          <w:p>
            <w:pPr>
              <w:pStyle w:val="Compact"/>
              <w:jc w:val="center"/>
            </w:pPr>
            <w:r>
              <w:drawing>
                <wp:inline>
                  <wp:extent cx="5334000" cy="5523883"/>
                  <wp:effectExtent b="0" l="0" r="0" t="0"/>
                  <wp:docPr descr="" title="" id="177" name="Picture"/>
                  <a:graphic>
                    <a:graphicData uri="http://schemas.openxmlformats.org/drawingml/2006/picture">
                      <pic:pic>
                        <pic:nvPicPr>
                          <pic:cNvPr descr="../../images/diagrams/b02-identity/svg/ch08-assessment-pipeline.sv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6"/>
                              </a:ext>
                            </a:extLst>
                          </a:blip>
                          <a:stretch>
                            <a:fillRect/>
                          </a:stretch>
                        </pic:blipFill>
                        <pic:spPr bwMode="auto">
                          <a:xfrm>
                            <a:off x="0" y="0"/>
                            <a:ext cx="5334000" cy="5523883"/>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assessment pipeline: one orchestrator, eight collectors, a hashed manifest, and a versioned repository that raises issues and starts planning.</w:t>
            </w:r>
          </w:p>
          <w:bookmarkEnd w:id="179"/>
        </w:tc>
      </w:tr>
    </w:tbl>
    <w:bookmarkStart w:id="180" w:name="orchestration"/>
    <w:p>
      <w:pPr>
        <w:pStyle w:val="Heading3"/>
      </w:pPr>
      <w:r>
        <w:t xml:space="preserve">Orchestration</w:t>
      </w:r>
    </w:p>
    <w:p>
      <w:pPr>
        <w:pStyle w:val="FirstParagraph"/>
      </w:pPr>
      <w:r>
        <w:rPr>
          <w:rStyle w:val="VerbatimChar"/>
        </w:rPr>
        <w:t xml:space="preserve">Invoke-FMPADAssessment</w:t>
      </w:r>
      <w:r>
        <w:t xml:space="preserve"> </w:t>
      </w:r>
      <w:r>
        <w:t xml:space="preserve">runs the collectors in a fixed order: topology, OUs, GPOs, DNS, AD CS, computers, users and groups, trusts. It then writes</w:t>
      </w:r>
      <w:r>
        <w:t xml:space="preserve"> </w:t>
      </w:r>
      <w:r>
        <w:rPr>
          <w:rStyle w:val="VerbatimChar"/>
        </w:rPr>
        <w:t xml:space="preserve">AssessmentManifest.json</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rPr>
                <w:rStyle w:val="VerbatimChar"/>
              </w:rPr>
              <w:t xml:space="preserve">AssessmentId</w:t>
            </w:r>
          </w:p>
        </w:tc>
        <w:tc>
          <w:tcPr/>
          <w:p>
            <w:pPr>
              <w:pStyle w:val="Compact"/>
            </w:pPr>
            <w:r>
              <w:t xml:space="preserve">A new GUID for the run</w:t>
            </w:r>
          </w:p>
        </w:tc>
      </w:tr>
      <w:tr>
        <w:tc>
          <w:tcPr/>
          <w:p>
            <w:pPr>
              <w:pStyle w:val="Compact"/>
            </w:pPr>
            <w:r>
              <w:rPr>
                <w:rStyle w:val="VerbatimChar"/>
              </w:rPr>
              <w:t xml:space="preserve">Domain</w:t>
            </w:r>
            <w:r>
              <w:t xml:space="preserve">,</w:t>
            </w:r>
            <w:r>
              <w:t xml:space="preserve"> </w:t>
            </w:r>
            <w:r>
              <w:rPr>
                <w:rStyle w:val="VerbatimChar"/>
              </w:rPr>
              <w:t xml:space="preserve">ComputerName</w:t>
            </w:r>
            <w:r>
              <w:t xml:space="preserve">,</w:t>
            </w:r>
            <w:r>
              <w:t xml:space="preserve"> </w:t>
            </w:r>
            <w:r>
              <w:rPr>
                <w:rStyle w:val="VerbatimChar"/>
              </w:rPr>
              <w:t xml:space="preserve">ExecutedBy</w:t>
            </w:r>
          </w:p>
        </w:tc>
        <w:tc>
          <w:tcPr/>
          <w:p>
            <w:pPr>
              <w:pStyle w:val="Compact"/>
            </w:pPr>
            <w:r>
              <w:t xml:space="preserve">Where, on what host, and as whom it ran</w:t>
            </w:r>
          </w:p>
        </w:tc>
      </w:tr>
      <w:tr>
        <w:tc>
          <w:tcPr/>
          <w:p>
            <w:pPr>
              <w:pStyle w:val="Compact"/>
            </w:pPr>
            <w:r>
              <w:rPr>
                <w:rStyle w:val="VerbatimChar"/>
              </w:rPr>
              <w:t xml:space="preserve">StartTime</w:t>
            </w:r>
            <w:r>
              <w:t xml:space="preserve">,</w:t>
            </w:r>
            <w:r>
              <w:t xml:space="preserve"> </w:t>
            </w:r>
            <w:r>
              <w:rPr>
                <w:rStyle w:val="VerbatimChar"/>
              </w:rPr>
              <w:t xml:space="preserve">EndTime</w:t>
            </w:r>
            <w:r>
              <w:t xml:space="preserve">,</w:t>
            </w:r>
            <w:r>
              <w:t xml:space="preserve"> </w:t>
            </w:r>
            <w:r>
              <w:rPr>
                <w:rStyle w:val="VerbatimChar"/>
              </w:rPr>
              <w:t xml:space="preserve">DurationMinutes</w:t>
            </w:r>
          </w:p>
        </w:tc>
        <w:tc>
          <w:tcPr/>
          <w:p>
            <w:pPr>
              <w:pStyle w:val="Compact"/>
            </w:pPr>
            <w:r>
              <w:t xml:space="preserve">The execution window, in ISO 8601</w:t>
            </w:r>
          </w:p>
        </w:tc>
      </w:tr>
      <w:tr>
        <w:tc>
          <w:tcPr/>
          <w:p>
            <w:pPr>
              <w:pStyle w:val="Compact"/>
            </w:pPr>
            <w:r>
              <w:rPr>
                <w:rStyle w:val="VerbatimChar"/>
              </w:rPr>
              <w:t xml:space="preserve">StaleThresholdDays</w:t>
            </w:r>
          </w:p>
        </w:tc>
        <w:tc>
          <w:tcPr/>
          <w:p>
            <w:pPr>
              <w:pStyle w:val="Compact"/>
            </w:pPr>
            <w:r>
              <w:t xml:space="preserve">The threshold the run used</w:t>
            </w:r>
          </w:p>
        </w:tc>
      </w:tr>
      <w:tr>
        <w:tc>
          <w:tcPr/>
          <w:p>
            <w:pPr>
              <w:pStyle w:val="Compact"/>
            </w:pPr>
            <w:r>
              <w:rPr>
                <w:rStyle w:val="VerbatimChar"/>
              </w:rPr>
              <w:t xml:space="preserve">FileCount</w:t>
            </w:r>
            <w:r>
              <w:t xml:space="preserve">,</w:t>
            </w:r>
            <w:r>
              <w:t xml:space="preserve"> </w:t>
            </w:r>
            <w:r>
              <w:rPr>
                <w:rStyle w:val="VerbatimChar"/>
              </w:rPr>
              <w:t xml:space="preserve">Files</w:t>
            </w:r>
          </w:p>
        </w:tc>
        <w:tc>
          <w:tcPr/>
          <w:p>
            <w:pPr>
              <w:pStyle w:val="Compact"/>
            </w:pPr>
            <w:r>
              <w:t xml:space="preserve">Every output file with relative path, size, last write time and SHA-256 hash</w:t>
            </w:r>
          </w:p>
        </w:tc>
      </w:tr>
    </w:tbl>
    <w:p>
      <w:pPr>
        <w:pStyle w:val="BodyText"/>
      </w:pPr>
      <w:r>
        <w:t xml:space="preserve">The manifest is what makes a run evidence. Anyone holding the repository can recompute the hashes and show that no artifact changed after collection.</w:t>
      </w:r>
    </w:p>
    <w:bookmarkEnd w:id="180"/>
    <w:bookmarkStart w:id="181" w:name="from-artifact-to-plan"/>
    <w:p>
      <w:pPr>
        <w:pStyle w:val="Heading3"/>
      </w:pPr>
      <w:r>
        <w:t xml:space="preserve">From artifact to plan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Artifact</w:t>
            </w:r>
          </w:p>
        </w:tc>
        <w:tc>
          <w:tcPr/>
          <w:p>
            <w:pPr>
              <w:pStyle w:val="Compact"/>
            </w:pPr>
            <w:r>
              <w:t xml:space="preserve">Consumed by</w:t>
            </w:r>
          </w:p>
        </w:tc>
        <w:tc>
          <w:tcPr/>
          <w:p>
            <w:pPr>
              <w:pStyle w:val="Compact"/>
            </w:pPr>
            <w:r>
              <w:t xml:space="preserve">Use</w:t>
            </w:r>
          </w:p>
        </w:tc>
      </w:tr>
      <w:tr>
        <w:tc>
          <w:tcPr/>
          <w:p>
            <w:pPr>
              <w:pStyle w:val="Compact"/>
            </w:pPr>
            <w:r>
              <w:rPr>
                <w:rStyle w:val="VerbatimChar"/>
              </w:rPr>
              <w:t xml:space="preserve">GPOInventory.json</w:t>
            </w:r>
            <w:r>
              <w:t xml:space="preserve">,</w:t>
            </w:r>
            <w:r>
              <w:t xml:space="preserve"> </w:t>
            </w:r>
            <w:r>
              <w:rPr>
                <w:rStyle w:val="VerbatimChar"/>
              </w:rPr>
              <w:t xml:space="preserve">GPOSettingsDecomposed.json</w:t>
            </w:r>
            <w:r>
              <w:t xml:space="preserve">,</w:t>
            </w:r>
            <w:r>
              <w:t xml:space="preserve"> </w:t>
            </w:r>
            <w:r>
              <w:rPr>
                <w:rStyle w:val="VerbatimChar"/>
              </w:rPr>
              <w:t xml:space="preserve">&lt;GUID&gt;.xml</w:t>
            </w:r>
          </w:p>
        </w:tc>
        <w:tc>
          <w:tcPr/>
          <w:p>
            <w:pPr>
              <w:pStyle w:val="Compact"/>
            </w:pPr>
            <w:r>
              <w:t xml:space="preserve">GPO-to-Intune migration plan</w:t>
            </w:r>
          </w:p>
        </w:tc>
        <w:tc>
          <w:tcPr/>
          <w:p>
            <w:pPr>
              <w:pStyle w:val="Compact"/>
            </w:pPr>
            <w:r>
              <w:t xml:space="preserve">Group Policy analytics import and Settings Catalog design</w:t>
            </w:r>
          </w:p>
        </w:tc>
      </w:tr>
      <w:tr>
        <w:tc>
          <w:tcPr/>
          <w:p>
            <w:pPr>
              <w:pStyle w:val="Compact"/>
            </w:pPr>
            <w:r>
              <w:rPr>
                <w:rStyle w:val="VerbatimChar"/>
              </w:rPr>
              <w:t xml:space="preserve">ComputerInventory.json</w:t>
            </w:r>
            <w:r>
              <w:t xml:space="preserve">,</w:t>
            </w:r>
            <w:r>
              <w:t xml:space="preserve"> </w:t>
            </w:r>
            <w:r>
              <w:rPr>
                <w:rStyle w:val="VerbatimChar"/>
              </w:rPr>
              <w:t xml:space="preserve">ComputersByOS.csv</w:t>
            </w:r>
          </w:p>
        </w:tc>
        <w:tc>
          <w:tcPr/>
          <w:p>
            <w:pPr>
              <w:pStyle w:val="Compact"/>
            </w:pPr>
            <w:r>
              <w:t xml:space="preserve">Device modernization plan</w:t>
            </w:r>
          </w:p>
        </w:tc>
        <w:tc>
          <w:tcPr/>
          <w:p>
            <w:pPr>
              <w:pStyle w:val="Compact"/>
            </w:pPr>
            <w:r>
              <w:t xml:space="preserve">Entra join, hybrid join, Arc or retire, per device</w:t>
            </w:r>
          </w:p>
        </w:tc>
      </w:tr>
      <w:tr>
        <w:tc>
          <w:tcPr/>
          <w:p>
            <w:pPr>
              <w:pStyle w:val="Compact"/>
            </w:pPr>
            <w:r>
              <w:rPr>
                <w:rStyle w:val="VerbatimChar"/>
              </w:rPr>
              <w:t xml:space="preserve">DNSInventory.json</w:t>
            </w:r>
          </w:p>
        </w:tc>
        <w:tc>
          <w:tcPr/>
          <w:p>
            <w:pPr>
              <w:pStyle w:val="Compact"/>
            </w:pPr>
            <w:r>
              <w:t xml:space="preserve">DNS modernization plan</w:t>
            </w:r>
          </w:p>
        </w:tc>
        <w:tc>
          <w:tcPr/>
          <w:p>
            <w:pPr>
              <w:pStyle w:val="Compact"/>
            </w:pPr>
            <w:r>
              <w:t xml:space="preserve">Zones and forwarders mapped to the target design</w:t>
            </w:r>
          </w:p>
        </w:tc>
      </w:tr>
      <w:tr>
        <w:tc>
          <w:tcPr/>
          <w:p>
            <w:pPr>
              <w:pStyle w:val="Compact"/>
            </w:pPr>
            <w:r>
              <w:rPr>
                <w:rStyle w:val="VerbatimChar"/>
              </w:rPr>
              <w:t xml:space="preserve">PKIInventory.json</w:t>
            </w:r>
            <w:r>
              <w:t xml:space="preserve">,</w:t>
            </w:r>
            <w:r>
              <w:t xml:space="preserve"> </w:t>
            </w:r>
            <w:r>
              <w:rPr>
                <w:rStyle w:val="VerbatimChar"/>
              </w:rPr>
              <w:t xml:space="preserve">PKISecurityReport.json</w:t>
            </w:r>
          </w:p>
        </w:tc>
        <w:tc>
          <w:tcPr/>
          <w:p>
            <w:pPr>
              <w:pStyle w:val="Compact"/>
            </w:pPr>
            <w:r>
              <w:t xml:space="preserve">PKI modernization plan</w:t>
            </w:r>
          </w:p>
        </w:tc>
        <w:tc>
          <w:tcPr/>
          <w:p>
            <w:pPr>
              <w:pStyle w:val="Compact"/>
            </w:pPr>
            <w:r>
              <w:t xml:space="preserve">CBA readiness and ESC remediation</w:t>
            </w:r>
          </w:p>
        </w:tc>
      </w:tr>
      <w:tr>
        <w:tc>
          <w:tcPr/>
          <w:p>
            <w:pPr>
              <w:pStyle w:val="Compact"/>
            </w:pPr>
            <w:r>
              <w:rPr>
                <w:rStyle w:val="VerbatimChar"/>
              </w:rPr>
              <w:t xml:space="preserve">OUHierarchy.json</w:t>
            </w:r>
            <w:r>
              <w:t xml:space="preserve">,</w:t>
            </w:r>
            <w:r>
              <w:t xml:space="preserve"> </w:t>
            </w:r>
            <w:r>
              <w:rPr>
                <w:rStyle w:val="VerbatimChar"/>
              </w:rPr>
              <w:t xml:space="preserve">OUDelegations.json</w:t>
            </w:r>
          </w:p>
        </w:tc>
        <w:tc>
          <w:tcPr/>
          <w:p>
            <w:pPr>
              <w:pStyle w:val="Compact"/>
            </w:pPr>
            <w:r>
              <w:t xml:space="preserve">Attribute and delegation design</w:t>
            </w:r>
          </w:p>
        </w:tc>
        <w:tc>
          <w:tcPr/>
          <w:p>
            <w:pPr>
              <w:pStyle w:val="Compact"/>
            </w:pPr>
            <w:r>
              <w:t xml:space="preserve">OU targeting converted to attributes, dynamic groups and administrative units</w:t>
            </w:r>
          </w:p>
        </w:tc>
      </w:tr>
      <w:tr>
        <w:tc>
          <w:tcPr/>
          <w:p>
            <w:pPr>
              <w:pStyle w:val="Compact"/>
            </w:pPr>
            <w:r>
              <w:rPr>
                <w:rStyle w:val="VerbatimChar"/>
              </w:rPr>
              <w:t xml:space="preserve">TrustMap.json</w:t>
            </w:r>
          </w:p>
        </w:tc>
        <w:tc>
          <w:tcPr/>
          <w:p>
            <w:pPr>
              <w:pStyle w:val="Compact"/>
            </w:pPr>
            <w:r>
              <w:t xml:space="preserve">Partner access plan</w:t>
            </w:r>
          </w:p>
        </w:tc>
        <w:tc>
          <w:tcPr/>
          <w:p>
            <w:pPr>
              <w:pStyle w:val="Compact"/>
            </w:pPr>
            <w:r>
              <w:t xml:space="preserve">Partners whose access needs a B2B or cross-tenant design</w:t>
            </w:r>
          </w:p>
        </w:tc>
      </w:tr>
      <w:tr>
        <w:tc>
          <w:tcPr/>
          <w:p>
            <w:pPr>
              <w:pStyle w:val="Compact"/>
            </w:pPr>
            <w:r>
              <w:rPr>
                <w:rStyle w:val="VerbatimChar"/>
              </w:rPr>
              <w:t xml:space="preserve">UserInventory.json</w:t>
            </w:r>
            <w:r>
              <w:t xml:space="preserve">,</w:t>
            </w:r>
            <w:r>
              <w:t xml:space="preserve"> </w:t>
            </w:r>
            <w:r>
              <w:rPr>
                <w:rStyle w:val="VerbatimChar"/>
              </w:rPr>
              <w:t xml:space="preserve">GroupInventory.json</w:t>
            </w:r>
            <w:r>
              <w:t xml:space="preserve">,</w:t>
            </w:r>
            <w:r>
              <w:t xml:space="preserve"> </w:t>
            </w:r>
            <w:r>
              <w:rPr>
                <w:rStyle w:val="VerbatimChar"/>
              </w:rPr>
              <w:t xml:space="preserve">PrivilegedUsers.csv</w:t>
            </w:r>
          </w:p>
        </w:tc>
        <w:tc>
          <w:tcPr/>
          <w:p>
            <w:pPr>
              <w:pStyle w:val="Compact"/>
            </w:pPr>
            <w:r>
              <w:t xml:space="preserve">Identity design</w:t>
            </w:r>
          </w:p>
        </w:tc>
        <w:tc>
          <w:tcPr/>
          <w:p>
            <w:pPr>
              <w:pStyle w:val="Compact"/>
            </w:pPr>
            <w:r>
              <w:t xml:space="preserve">Group structure, PIM role assignments, access review scopes</w:t>
            </w:r>
          </w:p>
        </w:tc>
      </w:tr>
      <w:tr>
        <w:tc>
          <w:tcPr/>
          <w:p>
            <w:pPr>
              <w:pStyle w:val="Compact"/>
            </w:pPr>
            <w:r>
              <w:rPr>
                <w:rStyle w:val="VerbatimChar"/>
              </w:rPr>
              <w:t xml:space="preserve">ServiceAccounts.csv</w:t>
            </w:r>
          </w:p>
        </w:tc>
        <w:tc>
          <w:tcPr/>
          <w:p>
            <w:pPr>
              <w:pStyle w:val="Compact"/>
            </w:pPr>
            <w:r>
              <w:t xml:space="preserve">Service account plan</w:t>
            </w:r>
          </w:p>
        </w:tc>
        <w:tc>
          <w:tcPr/>
          <w:p>
            <w:pPr>
              <w:pStyle w:val="Compact"/>
            </w:pPr>
            <w:r>
              <w:t xml:space="preserve">gMSA or dMSA on premises; workload identities in the cloud</w:t>
            </w:r>
          </w:p>
        </w:tc>
      </w:tr>
    </w:tbl>
    <w:bookmarkEnd w:id="181"/>
    <w:bookmarkStart w:id="185" w:name="drift"/>
    <w:p>
      <w:pPr>
        <w:pStyle w:val="Heading3"/>
      </w:pPr>
      <w:r>
        <w:t xml:space="preserve">Drift</w:t>
      </w:r>
    </w:p>
    <w:p>
      <w:pPr>
        <w:pStyle w:val="FirstParagraph"/>
      </w:pPr>
      <w:r>
        <w:t xml:space="preserve">Run the assessment on a schedule (the reference design is weekly) and compare each run with the last.</w:t>
      </w:r>
      <w:r>
        <w:t xml:space="preserve"> </w:t>
      </w:r>
      <w:r>
        <w:rPr>
          <w:rStyle w:val="VerbatimChar"/>
        </w:rPr>
        <w:t xml:space="preserve">Compare-FMPAssessments</w:t>
      </w:r>
      <w:r>
        <w:t xml:space="preserve"> </w:t>
      </w:r>
      <w:r>
        <w:t xml:space="preserve">compares the key JSON files by hash and reports which changed. A changed hash says</w:t>
      </w:r>
      <w:r>
        <w:t xml:space="preserve"> </w:t>
      </w:r>
      <w:r>
        <w:rPr>
          <w:i/>
          <w:iCs/>
        </w:rPr>
        <w:t xml:space="preserve">that</w:t>
      </w:r>
      <w:r>
        <w:t xml:space="preserve"> </w:t>
      </w:r>
      <w:r>
        <w:t xml:space="preserve">something changed; to say</w:t>
      </w:r>
      <w:r>
        <w:t xml:space="preserve"> </w:t>
      </w:r>
      <w:r>
        <w:rPr>
          <w:i/>
          <w:iCs/>
        </w:rPr>
        <w:t xml:space="preserve">what</w:t>
      </w:r>
      <w:r>
        <w:t xml:space="preserve">, compare the parsed objects by a stable key (GUID or SID), which Appendix B shows for the computer, user, group and GPO inventories. Exclude timestamps from the comparison, or every file will look changed on every run.</w:t>
      </w:r>
    </w:p>
    <w:p>
      <w:pPr>
        <w:pStyle w:val="BodyText"/>
      </w:pPr>
      <w:r>
        <w:t xml:space="preserve">Schedule the run under a gMSA so no password is stored. Group MSAs support Task Scheduler tasks, and Microsoft’s own on-demand assessments can run their scheduled task as an sMSA or gMSA; Microsoft recommends caching the account on the collection host with</w:t>
      </w:r>
      <w:r>
        <w:t xml:space="preserve"> </w:t>
      </w:r>
      <w:r>
        <w:rPr>
          <w:rStyle w:val="VerbatimChar"/>
        </w:rPr>
        <w:t xml:space="preserve">Install-ADServiceAccount</w:t>
      </w:r>
      <w:r>
        <w:t xml:space="preserve"> </w:t>
      </w:r>
      <w:r>
        <w:t xml:space="preserve">first, to prove the host can retrieve its password.</w:t>
      </w:r>
      <w:r>
        <w:rPr>
          <w:rStyle w:val="FootnoteReference"/>
        </w:rPr>
        <w:footnoteReference w:id="182"/>
      </w:r>
      <w:r>
        <w:rPr>
          <w:rStyle w:val="FootnoteReference"/>
        </w:rPr>
        <w:footnoteReference w:id="183"/>
      </w:r>
    </w:p>
    <w:bookmarkEnd w:id="185"/>
    <w:bookmarkEnd w:id="186"/>
    <w:bookmarkStart w:id="192" w:name="git-integration-for-assessment-data"/>
    <w:p>
      <w:pPr>
        <w:pStyle w:val="Heading2"/>
      </w:pPr>
      <w:r>
        <w:t xml:space="preserve">Git integration for assessment data</w:t>
      </w:r>
    </w:p>
    <w:p>
      <w:pPr>
        <w:pStyle w:val="FirstParagraph"/>
      </w:pPr>
      <w:r>
        <w:t xml:space="preserve">The repository is the system of record for assessment history. The reference design uses Gitea’s REST API at</w:t>
      </w:r>
      <w:r>
        <w:t xml:space="preserve"> </w:t>
      </w:r>
      <w:r>
        <w:rPr>
          <w:rStyle w:val="VerbatimChar"/>
        </w:rPr>
        <w:t xml:space="preserve">/api/v1</w:t>
      </w:r>
      <w:r>
        <w:t xml:space="preserve">, authenticated with an API token in an</w:t>
      </w:r>
      <w:r>
        <w:t xml:space="preserve"> </w:t>
      </w:r>
      <w:r>
        <w:rPr>
          <w:rStyle w:val="VerbatimChar"/>
        </w:rPr>
        <w:t xml:space="preserve">Authorization: token &lt;value&gt;</w:t>
      </w:r>
      <w:r>
        <w:t xml:space="preserve"> </w:t>
      </w:r>
      <w:r>
        <w:t xml:space="preserve">header.</w:t>
      </w:r>
      <w:r>
        <w:rPr>
          <w:rStyle w:val="FootnoteReference"/>
        </w:rPr>
        <w:footnoteReference w:id="187"/>
      </w:r>
      <w:r>
        <w:t xml:space="preserve"> </w:t>
      </w:r>
      <w:r>
        <w:t xml:space="preserve">Gitea’s API specification marks the older</w:t>
      </w:r>
      <w:r>
        <w:t xml:space="preserve"> </w:t>
      </w:r>
      <w:r>
        <w:rPr>
          <w:rStyle w:val="VerbatimChar"/>
        </w:rPr>
        <w:t xml:space="preserve">token</w:t>
      </w:r>
      <w:r>
        <w:t xml:space="preserve"> </w:t>
      </w:r>
      <w:r>
        <w:t xml:space="preserve">and</w:t>
      </w:r>
      <w:r>
        <w:t xml:space="preserve"> </w:t>
      </w:r>
      <w:r>
        <w:rPr>
          <w:rStyle w:val="VerbatimChar"/>
        </w:rPr>
        <w:t xml:space="preserve">access_token</w:t>
      </w:r>
      <w:r>
        <w:t xml:space="preserve"> </w:t>
      </w:r>
      <w:r>
        <w:t xml:space="preserve">query parameters as deprecated, so don’t use them; they also put the secret in URLs and logs.</w:t>
      </w:r>
      <w:r>
        <w:rPr>
          <w:rStyle w:val="FootnoteReference"/>
        </w:rPr>
        <w:footnoteReference w:id="189"/>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Purpose</w:t>
            </w:r>
          </w:p>
        </w:tc>
        <w:tc>
          <w:tcPr/>
          <w:p>
            <w:pPr>
              <w:pStyle w:val="Compact"/>
            </w:pPr>
            <w:r>
              <w:t xml:space="preserve">Endpoint</w:t>
            </w:r>
          </w:p>
        </w:tc>
        <w:tc>
          <w:tcPr/>
          <w:p>
            <w:pPr>
              <w:pStyle w:val="Compact"/>
            </w:pPr>
            <w:r>
              <w:t xml:space="preserve">Notes</w:t>
            </w:r>
          </w:p>
        </w:tc>
      </w:tr>
      <w:tr>
        <w:tc>
          <w:tcPr/>
          <w:p>
            <w:pPr>
              <w:pStyle w:val="Compact"/>
            </w:pPr>
            <w:r>
              <w:t xml:space="preserve">Create a branch per run</w:t>
            </w:r>
          </w:p>
        </w:tc>
        <w:tc>
          <w:tcPr/>
          <w:p>
            <w:pPr>
              <w:pStyle w:val="Compact"/>
            </w:pPr>
            <w:r>
              <w:rPr>
                <w:rStyle w:val="VerbatimChar"/>
              </w:rPr>
              <w:t xml:space="preserve">POST /repos/{owner}/{repo}/branches</w:t>
            </w:r>
          </w:p>
        </w:tc>
        <w:tc>
          <w:tcPr/>
          <w:p>
            <w:pPr>
              <w:pStyle w:val="Compact"/>
            </w:pPr>
            <w:r>
              <w:rPr>
                <w:rStyle w:val="VerbatimChar"/>
              </w:rPr>
              <w:t xml:space="preserve">new_branch_name</w:t>
            </w:r>
            <w:r>
              <w:t xml:space="preserve"> </w:t>
            </w:r>
            <w:r>
              <w:t xml:space="preserve">plus</w:t>
            </w:r>
            <w:r>
              <w:t xml:space="preserve"> </w:t>
            </w:r>
            <w:r>
              <w:rPr>
                <w:rStyle w:val="VerbatimChar"/>
              </w:rPr>
              <w:t xml:space="preserve">old_ref_name</w:t>
            </w:r>
            <w:r>
              <w:t xml:space="preserve">;</w:t>
            </w:r>
            <w:r>
              <w:t xml:space="preserve"> </w:t>
            </w:r>
            <w:r>
              <w:rPr>
                <w:rStyle w:val="VerbatimChar"/>
              </w:rPr>
              <w:t xml:space="preserve">old_branch_name</w:t>
            </w:r>
            <w:r>
              <w:t xml:space="preserve"> </w:t>
            </w:r>
            <w:r>
              <w:t xml:space="preserve">is deprecated</w:t>
            </w:r>
          </w:p>
        </w:tc>
      </w:tr>
      <w:tr>
        <w:tc>
          <w:tcPr/>
          <w:p>
            <w:pPr>
              <w:pStyle w:val="Compact"/>
            </w:pPr>
            <w:r>
              <w:t xml:space="preserve">Commit a whole run at once</w:t>
            </w:r>
          </w:p>
        </w:tc>
        <w:tc>
          <w:tcPr/>
          <w:p>
            <w:pPr>
              <w:pStyle w:val="Compact"/>
            </w:pPr>
            <w:r>
              <w:rPr>
                <w:rStyle w:val="VerbatimChar"/>
              </w:rPr>
              <w:t xml:space="preserve">POST /repos/{owner}/{repo}/contents</w:t>
            </w:r>
          </w:p>
        </w:tc>
        <w:tc>
          <w:tcPr/>
          <w:p>
            <w:pPr>
              <w:pStyle w:val="Compact"/>
            </w:pPr>
            <w:r>
              <w:rPr>
                <w:rStyle w:val="VerbatimChar"/>
              </w:rPr>
              <w:t xml:space="preserve">files</w:t>
            </w:r>
            <w:r>
              <w:t xml:space="preserve"> </w:t>
            </w:r>
            <w:r>
              <w:t xml:space="preserve">is a list of operations (</w:t>
            </w:r>
            <w:r>
              <w:rPr>
                <w:rStyle w:val="VerbatimChar"/>
              </w:rPr>
              <w:t xml:space="preserve">create</w:t>
            </w:r>
            <w:r>
              <w:t xml:space="preserve">,</w:t>
            </w:r>
            <w:r>
              <w:t xml:space="preserve"> </w:t>
            </w:r>
            <w:r>
              <w:rPr>
                <w:rStyle w:val="VerbatimChar"/>
              </w:rPr>
              <w:t xml:space="preserve">update</w:t>
            </w:r>
            <w:r>
              <w:t xml:space="preserve">,</w:t>
            </w:r>
            <w:r>
              <w:t xml:space="preserve"> </w:t>
            </w:r>
            <w:r>
              <w:rPr>
                <w:rStyle w:val="VerbatimChar"/>
              </w:rPr>
              <w:t xml:space="preserve">upload</w:t>
            </w:r>
            <w:r>
              <w:t xml:space="preserve">,</w:t>
            </w:r>
            <w:r>
              <w:t xml:space="preserve"> </w:t>
            </w:r>
            <w:r>
              <w:rPr>
                <w:rStyle w:val="VerbatimChar"/>
              </w:rPr>
              <w:t xml:space="preserve">delete</w:t>
            </w:r>
            <w:r>
              <w:t xml:space="preserve">,</w:t>
            </w:r>
            <w:r>
              <w:t xml:space="preserve"> </w:t>
            </w:r>
            <w:r>
              <w:rPr>
                <w:rStyle w:val="VerbatimChar"/>
              </w:rPr>
              <w:t xml:space="preserve">rename</w:t>
            </w:r>
            <w:r>
              <w:t xml:space="preserve">), each with base64 content</w:t>
            </w:r>
          </w:p>
        </w:tc>
      </w:tr>
      <w:tr>
        <w:tc>
          <w:tcPr/>
          <w:p>
            <w:pPr>
              <w:pStyle w:val="Compact"/>
            </w:pPr>
            <w:r>
              <w:t xml:space="preserve">Create or update one file</w:t>
            </w:r>
          </w:p>
        </w:tc>
        <w:tc>
          <w:tcPr/>
          <w:p>
            <w:pPr>
              <w:pStyle w:val="Compact"/>
            </w:pPr>
            <w:r>
              <w:rPr>
                <w:rStyle w:val="VerbatimChar"/>
              </w:rPr>
              <w:t xml:space="preserve">POST</w:t>
            </w:r>
            <w:r>
              <w:t xml:space="preserve"> </w:t>
            </w:r>
            <w:r>
              <w:t xml:space="preserve">or</w:t>
            </w:r>
            <w:r>
              <w:t xml:space="preserve"> </w:t>
            </w:r>
            <w:r>
              <w:rPr>
                <w:rStyle w:val="VerbatimChar"/>
              </w:rPr>
              <w:t xml:space="preserve">PUT /repos/{owner}/{repo}/contents/{filepath}</w:t>
            </w:r>
          </w:p>
        </w:tc>
        <w:tc>
          <w:tcPr/>
          <w:p>
            <w:pPr>
              <w:pStyle w:val="Compact"/>
            </w:pPr>
            <w:r>
              <w:rPr>
                <w:rStyle w:val="VerbatimChar"/>
              </w:rPr>
              <w:t xml:space="preserve">PUT</w:t>
            </w:r>
            <w:r>
              <w:t xml:space="preserve"> </w:t>
            </w:r>
            <w:r>
              <w:t xml:space="preserve">needs the existing blob</w:t>
            </w:r>
            <w:r>
              <w:t xml:space="preserve"> </w:t>
            </w:r>
            <w:r>
              <w:rPr>
                <w:rStyle w:val="VerbatimChar"/>
              </w:rPr>
              <w:t xml:space="preserve">sha</w:t>
            </w:r>
            <w:r>
              <w:t xml:space="preserve"> </w:t>
            </w:r>
            <w:r>
              <w:t xml:space="preserve">to update a file</w:t>
            </w:r>
          </w:p>
        </w:tc>
      </w:tr>
      <w:tr>
        <w:tc>
          <w:tcPr/>
          <w:p>
            <w:pPr>
              <w:pStyle w:val="Compact"/>
            </w:pPr>
            <w:r>
              <w:t xml:space="preserve">Raise a finding</w:t>
            </w:r>
          </w:p>
        </w:tc>
        <w:tc>
          <w:tcPr/>
          <w:p>
            <w:pPr>
              <w:pStyle w:val="Compact"/>
            </w:pPr>
            <w:r>
              <w:rPr>
                <w:rStyle w:val="VerbatimChar"/>
              </w:rPr>
              <w:t xml:space="preserve">POST /repos/{owner}/{repo}/issues</w:t>
            </w:r>
          </w:p>
        </w:tc>
        <w:tc>
          <w:tcPr/>
          <w:p>
            <w:pPr>
              <w:pStyle w:val="Compact"/>
            </w:pPr>
            <w:r>
              <w:rPr>
                <w:rStyle w:val="VerbatimChar"/>
              </w:rPr>
              <w:t xml:space="preserve">labels</w:t>
            </w:r>
            <w:r>
              <w:t xml:space="preserve"> </w:t>
            </w:r>
            <w:r>
              <w:t xml:space="preserve">is a list of label IDs, not names</w:t>
            </w:r>
          </w:p>
        </w:tc>
      </w:tr>
      <w:tr>
        <w:tc>
          <w:tcPr/>
          <w:p>
            <w:pPr>
              <w:pStyle w:val="Compact"/>
            </w:pPr>
            <w:r>
              <w:t xml:space="preserve">Start downstream automation</w:t>
            </w:r>
          </w:p>
        </w:tc>
        <w:tc>
          <w:tcPr/>
          <w:p>
            <w:pPr>
              <w:pStyle w:val="Compact"/>
            </w:pPr>
            <w:r>
              <w:rPr>
                <w:rStyle w:val="VerbatimChar"/>
              </w:rPr>
              <w:t xml:space="preserve">POST /repos/{owner}/{repo}/hooks</w:t>
            </w:r>
          </w:p>
        </w:tc>
        <w:tc>
          <w:tcPr/>
          <w:p>
            <w:pPr>
              <w:pStyle w:val="Compact"/>
            </w:pPr>
            <w:r>
              <w:rPr>
                <w:rStyle w:val="VerbatimChar"/>
              </w:rPr>
              <w:t xml:space="preserve">type</w:t>
            </w:r>
            <w:r>
              <w:t xml:space="preserve">,</w:t>
            </w:r>
            <w:r>
              <w:t xml:space="preserve"> </w:t>
            </w:r>
            <w:r>
              <w:rPr>
                <w:rStyle w:val="VerbatimChar"/>
              </w:rPr>
              <w:t xml:space="preserve">config</w:t>
            </w:r>
            <w:r>
              <w:t xml:space="preserve"> </w:t>
            </w:r>
            <w:r>
              <w:t xml:space="preserve">with</w:t>
            </w:r>
            <w:r>
              <w:t xml:space="preserve"> </w:t>
            </w:r>
            <w:r>
              <w:rPr>
                <w:rStyle w:val="VerbatimChar"/>
              </w:rPr>
              <w:t xml:space="preserve">url</w:t>
            </w:r>
            <w:r>
              <w:t xml:space="preserve"> </w:t>
            </w:r>
            <w:r>
              <w:t xml:space="preserve">and</w:t>
            </w:r>
            <w:r>
              <w:t xml:space="preserve"> </w:t>
            </w:r>
            <w:r>
              <w:rPr>
                <w:rStyle w:val="VerbatimChar"/>
              </w:rPr>
              <w:t xml:space="preserve">content_type</w:t>
            </w:r>
            <w:r>
              <w:t xml:space="preserve">,</w:t>
            </w:r>
            <w:r>
              <w:t xml:space="preserve"> </w:t>
            </w:r>
            <w:r>
              <w:rPr>
                <w:rStyle w:val="VerbatimChar"/>
              </w:rPr>
              <w:t xml:space="preserve">events</w:t>
            </w:r>
            <w:r>
              <w:t xml:space="preserve">,</w:t>
            </w:r>
            <w:r>
              <w:t xml:space="preserve"> </w:t>
            </w:r>
            <w:r>
              <w:rPr>
                <w:rStyle w:val="VerbatimChar"/>
              </w:rPr>
              <w:t xml:space="preserve">branch_filter</w:t>
            </w:r>
          </w:p>
        </w:tc>
      </w:tr>
    </w:tbl>
    <w:p>
      <w:pPr>
        <w:pStyle w:val="BodyText"/>
      </w:pPr>
      <w:r>
        <w:t xml:space="preserve">All of these are from Gitea’s published API specification.</w:t>
      </w:r>
      <w:r>
        <w:rPr>
          <w:rStyle w:val="FootnoteReference"/>
        </w:rPr>
        <w:footnoteReference w:id="191"/>
      </w:r>
      <w:r>
        <w:t xml:space="preserve"> </w:t>
      </w:r>
      <w:r>
        <w:t xml:space="preserve">Two corrections to the source code follow from it. First, the source created issues with an empty label list and a comment that IDs</w:t>
      </w:r>
      <w:r>
        <w:t xml:space="preserve"> </w:t>
      </w:r>
      <w:r>
        <w:t xml:space="preserve">“would be resolved here”</w:t>
      </w:r>
      <w:r>
        <w:t xml:space="preserve">; resolve label names to IDs with</w:t>
      </w:r>
      <w:r>
        <w:t xml:space="preserve"> </w:t>
      </w:r>
      <w:r>
        <w:rPr>
          <w:rStyle w:val="VerbatimChar"/>
        </w:rPr>
        <w:t xml:space="preserve">GET /repos/{owner}/{repo}/labels</w:t>
      </w:r>
      <w:r>
        <w:t xml:space="preserve"> </w:t>
      </w:r>
      <w:r>
        <w:t xml:space="preserve">first, or the labels are silently dropped. Second, the source committed a run one file per API call, which produces hundreds of commits per run. The multi-file</w:t>
      </w:r>
      <w:r>
        <w:t xml:space="preserve"> </w:t>
      </w:r>
      <w:r>
        <w:rPr>
          <w:rStyle w:val="VerbatimChar"/>
        </w:rPr>
        <w:t xml:space="preserve">contents</w:t>
      </w:r>
      <w:r>
        <w:t xml:space="preserve"> </w:t>
      </w:r>
      <w:r>
        <w:t xml:space="preserve">endpoint commits the whole run, manifest included, as one commit, which is what makes</w:t>
      </w:r>
      <w:r>
        <w:t xml:space="preserve"> </w:t>
      </w:r>
      <w:r>
        <w:t xml:space="preserve">“one run, one commit”</w:t>
      </w:r>
      <w:r>
        <w:t xml:space="preserve"> </w:t>
      </w:r>
      <w:r>
        <w:t xml:space="preserve">true.</w:t>
      </w:r>
    </w:p>
    <w:p>
      <w:pPr>
        <w:pStyle w:val="BodyText"/>
      </w:pPr>
      <w:r>
        <w:t xml:space="preserve">The local-clone alternative (</w:t>
      </w:r>
      <w:r>
        <w:rPr>
          <w:rStyle w:val="VerbatimChar"/>
        </w:rPr>
        <w:t xml:space="preserve">git add</w:t>
      </w:r>
      <w:r>
        <w:t xml:space="preserve">,</w:t>
      </w:r>
      <w:r>
        <w:t xml:space="preserve"> </w:t>
      </w:r>
      <w:r>
        <w:rPr>
          <w:rStyle w:val="VerbatimChar"/>
        </w:rPr>
        <w:t xml:space="preserve">git commit</w:t>
      </w:r>
      <w:r>
        <w:t xml:space="preserve">,</w:t>
      </w:r>
      <w:r>
        <w:t xml:space="preserve"> </w:t>
      </w:r>
      <w:r>
        <w:rPr>
          <w:rStyle w:val="VerbatimChar"/>
        </w:rPr>
        <w:t xml:space="preserve">git push</w:t>
      </w:r>
      <w:r>
        <w:t xml:space="preserve">) works as well and is simpler on a host that already has Git. Either way, the commit message names the domain and the run timestamp, and the branch is</w:t>
      </w:r>
      <w:r>
        <w:t xml:space="preserve"> </w:t>
      </w:r>
      <w:r>
        <w:rPr>
          <w:rStyle w:val="VerbatimChar"/>
        </w:rPr>
        <w:t xml:space="preserve">assessment/&lt;domain&gt;/&lt;timestamp&gt;</w:t>
      </w:r>
      <w:r>
        <w:t xml:space="preserve">.</w:t>
      </w:r>
    </w:p>
    <w:p>
      <w:pPr>
        <w:pStyle w:val="BodyText"/>
      </w:pPr>
      <w:r>
        <w:t xml:space="preserve">Raise issues automatically for two classes of finding only: critical PKI patterns and unconstrained delegation on non-domain-controller accounts. Everything else goes to the planning documents, not the issue tracker. Webhook secrets are generated once and stored with the receiving automation, not regenerated on each run.</w:t>
      </w:r>
    </w:p>
    <w:bookmarkEnd w:id="192"/>
    <w:bookmarkStart w:id="204" w:name="security-and-least-privilege"/>
    <w:p>
      <w:pPr>
        <w:pStyle w:val="Heading2"/>
      </w:pPr>
      <w:r>
        <w:t xml:space="preserve">Security and least privilege</w:t>
      </w:r>
    </w:p>
    <w:p>
      <w:pPr>
        <w:pStyle w:val="FirstParagraph"/>
      </w:pPr>
      <w:r>
        <w:t xml:space="preserve">Assessment data is sensitive. It contains the forest’s topology, its privileged account list, its delegation configuration and its PKI weaknesses: a map for an attacker. Treat the output tree and the repository accordingly.</w:t>
      </w:r>
    </w:p>
    <w:bookmarkStart w:id="195" w:name="the-assessment-account"/>
    <w:p>
      <w:pPr>
        <w:pStyle w:val="Heading3"/>
      </w:pPr>
      <w:r>
        <w:t xml:space="preserve">The assessment account</w:t>
      </w:r>
    </w:p>
    <w:p>
      <w:pPr>
        <w:pStyle w:val="FirstParagraph"/>
      </w:pPr>
      <w:r>
        <w:t xml:space="preserve">The program’s design is a group managed service account,</w:t>
      </w:r>
      <w:r>
        <w:t xml:space="preserve"> </w:t>
      </w:r>
      <w:r>
        <w:rPr>
          <w:rStyle w:val="VerbatimChar"/>
        </w:rPr>
        <w:t xml:space="preserve">svc-fmp-assess$</w:t>
      </w:r>
      <w:r>
        <w:t xml:space="preserve">, with delegated read rights and nothing more:</w:t>
      </w:r>
    </w:p>
    <w:p>
      <w:pPr>
        <w:pStyle w:val="Compact"/>
        <w:numPr>
          <w:ilvl w:val="0"/>
          <w:numId w:val="1007"/>
        </w:numPr>
      </w:pPr>
      <w:r>
        <w:t xml:space="preserve">Read on the domain naming contexts and the configuration partition (default for authenticated users).</w:t>
      </w:r>
    </w:p>
    <w:p>
      <w:pPr>
        <w:pStyle w:val="Compact"/>
        <w:numPr>
          <w:ilvl w:val="0"/>
          <w:numId w:val="1007"/>
        </w:numPr>
      </w:pPr>
      <w:r>
        <w:t xml:space="preserve">Read-permissions rights on OUs whose ACLs aren’t readable by default.</w:t>
      </w:r>
    </w:p>
    <w:p>
      <w:pPr>
        <w:pStyle w:val="Compact"/>
        <w:numPr>
          <w:ilvl w:val="0"/>
          <w:numId w:val="1007"/>
        </w:numPr>
      </w:pPr>
      <w:r>
        <w:t xml:space="preserve">Read on GPOs and SYSVOL, and GPO backup rights through Group Policy Management delegation.</w:t>
      </w:r>
    </w:p>
    <w:p>
      <w:pPr>
        <w:pStyle w:val="Compact"/>
        <w:numPr>
          <w:ilvl w:val="0"/>
          <w:numId w:val="1007"/>
        </w:numPr>
      </w:pPr>
      <w:r>
        <w:t xml:space="preserve">Read on each DNS server, delegated on the server object; not DnsAdmins.</w:t>
      </w:r>
      <w:r>
        <w:rPr>
          <w:rStyle w:val="FootnoteReference"/>
        </w:rPr>
        <w:footnoteReference w:id="193"/>
      </w:r>
    </w:p>
    <w:p>
      <w:pPr>
        <w:pStyle w:val="Compact"/>
        <w:numPr>
          <w:ilvl w:val="0"/>
          <w:numId w:val="1007"/>
        </w:numPr>
      </w:pPr>
      <w:r>
        <w:t xml:space="preserve">Read on the Public Key Services containers and each CA.</w:t>
      </w:r>
    </w:p>
    <w:p>
      <w:pPr>
        <w:pStyle w:val="FirstParagraph"/>
      </w:pPr>
      <w:r>
        <w:t xml:space="preserve">The source created a user account with a password typed at a prompt, and then scheduled the task under a gMSA of the same name. Use the gMSA throughout. Create it with</w:t>
      </w:r>
      <w:r>
        <w:t xml:space="preserve"> </w:t>
      </w:r>
      <w:r>
        <w:rPr>
          <w:rStyle w:val="VerbatimChar"/>
        </w:rPr>
        <w:t xml:space="preserve">New-ADServiceAccount -PrincipalsAllowedToRetrieveManagedPassword &lt;host&gt;$</w:t>
      </w:r>
      <w:r>
        <w:t xml:space="preserve">, after confirming a KDS root key exists with</w:t>
      </w:r>
      <w:r>
        <w:t xml:space="preserve"> </w:t>
      </w:r>
      <w:r>
        <w:rPr>
          <w:rStyle w:val="VerbatimChar"/>
        </w:rPr>
        <w:t xml:space="preserve">Get-KdsRootKey</w:t>
      </w:r>
      <w:r>
        <w:t xml:space="preserve">.</w:t>
      </w:r>
      <w:r>
        <w:rPr>
          <w:rStyle w:val="FootnoteReference"/>
        </w:rPr>
        <w:footnoteReference w:id="194"/>
      </w:r>
      <w:r>
        <w:t xml:space="preserve"> </w:t>
      </w:r>
      <w:r>
        <w:t xml:space="preserve">For interactive runs, use</w:t>
      </w:r>
      <w:r>
        <w:t xml:space="preserve"> </w:t>
      </w:r>
      <w:r>
        <w:rPr>
          <w:rStyle w:val="VerbatimChar"/>
        </w:rPr>
        <w:t xml:space="preserve">Get-Credential</w:t>
      </w:r>
      <w:r>
        <w:t xml:space="preserve">; never store a password in a script or a text file.</w:t>
      </w:r>
    </w:p>
    <w:p>
      <w:pPr>
        <w:pStyle w:val="BodyText"/>
      </w:pPr>
      <w:r>
        <w:t xml:space="preserve">The source also read the Gitea token from a plain text file. Store it in the Windows credential store or a secrets vault the host can reach, scoped to the one repository, and rotate it.</w:t>
      </w:r>
    </w:p>
    <w:bookmarkEnd w:id="195"/>
    <w:bookmarkStart w:id="202" w:name="network-paths"/>
    <w:p>
      <w:pPr>
        <w:pStyle w:val="Heading3"/>
      </w:pPr>
      <w:r>
        <w:t xml:space="preserve">Network paths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Protocol</w:t>
            </w:r>
          </w:p>
        </w:tc>
        <w:tc>
          <w:tcPr/>
          <w:p>
            <w:pPr>
              <w:pStyle w:val="Compact"/>
            </w:pPr>
            <w:r>
              <w:t xml:space="preserve">Port</w:t>
            </w:r>
          </w:p>
        </w:tc>
        <w:tc>
          <w:tcPr/>
          <w:p>
            <w:pPr>
              <w:pStyle w:val="Compact"/>
            </w:pPr>
            <w:r>
              <w:t xml:space="preserve">From the assessment host to</w:t>
            </w:r>
          </w:p>
        </w:tc>
        <w:tc>
          <w:tcPr/>
          <w:p>
            <w:pPr>
              <w:pStyle w:val="Compact"/>
            </w:pPr>
            <w:r>
              <w:t xml:space="preserve">Purpose</w:t>
            </w:r>
          </w:p>
        </w:tc>
      </w:tr>
      <w:tr>
        <w:tc>
          <w:tcPr/>
          <w:p>
            <w:pPr>
              <w:pStyle w:val="Compact"/>
            </w:pPr>
            <w:r>
              <w:t xml:space="preserve">ADWS</w:t>
            </w:r>
          </w:p>
        </w:tc>
        <w:tc>
          <w:tcPr/>
          <w:p>
            <w:pPr>
              <w:pStyle w:val="Compact"/>
            </w:pPr>
            <w:r>
              <w:t xml:space="preserve">TCP 9389</w:t>
            </w:r>
          </w:p>
        </w:tc>
        <w:tc>
          <w:tcPr/>
          <w:p>
            <w:pPr>
              <w:pStyle w:val="Compact"/>
            </w:pPr>
            <w:r>
              <w:t xml:space="preserve">Domain controllers</w:t>
            </w:r>
          </w:p>
        </w:tc>
        <w:tc>
          <w:tcPr/>
          <w:p>
            <w:pPr>
              <w:pStyle w:val="Compact"/>
            </w:pPr>
            <w:r>
              <w:t xml:space="preserve">All ActiveDirectory module cmdlets</w:t>
            </w:r>
          </w:p>
        </w:tc>
      </w:tr>
      <w:tr>
        <w:tc>
          <w:tcPr/>
          <w:p>
            <w:pPr>
              <w:pStyle w:val="Compact"/>
            </w:pPr>
            <w:r>
              <w:t xml:space="preserve">LDAP / LDAPS</w:t>
            </w:r>
          </w:p>
        </w:tc>
        <w:tc>
          <w:tcPr/>
          <w:p>
            <w:pPr>
              <w:pStyle w:val="Compact"/>
            </w:pPr>
            <w:r>
              <w:t xml:space="preserve">TCP 389 / 636</w:t>
            </w:r>
          </w:p>
        </w:tc>
        <w:tc>
          <w:tcPr/>
          <w:p>
            <w:pPr>
              <w:pStyle w:val="Compact"/>
            </w:pPr>
            <w:r>
              <w:t xml:space="preserve">Domain controllers</w:t>
            </w:r>
          </w:p>
        </w:tc>
        <w:tc>
          <w:tcPr/>
          <w:p>
            <w:pPr>
              <w:pStyle w:val="Compact"/>
            </w:pPr>
            <w:r>
              <w:t xml:space="preserve">Direct LDAP queries and</w:t>
            </w:r>
            <w:r>
              <w:t xml:space="preserve"> </w:t>
            </w:r>
            <w:r>
              <w:rPr>
                <w:rStyle w:val="VerbatimChar"/>
              </w:rPr>
              <w:t xml:space="preserve">certutil -ADCA</w:t>
            </w:r>
          </w:p>
        </w:tc>
      </w:tr>
      <w:tr>
        <w:tc>
          <w:tcPr/>
          <w:p>
            <w:pPr>
              <w:pStyle w:val="Compact"/>
            </w:pPr>
            <w:r>
              <w:t xml:space="preserve">Global catalog</w:t>
            </w:r>
          </w:p>
        </w:tc>
        <w:tc>
          <w:tcPr/>
          <w:p>
            <w:pPr>
              <w:pStyle w:val="Compact"/>
            </w:pPr>
            <w:r>
              <w:t xml:space="preserve">TCP 3268 / 3269</w:t>
            </w:r>
          </w:p>
        </w:tc>
        <w:tc>
          <w:tcPr/>
          <w:p>
            <w:pPr>
              <w:pStyle w:val="Compact"/>
            </w:pPr>
            <w:r>
              <w:t xml:space="preserve">Global catalogs</w:t>
            </w:r>
          </w:p>
        </w:tc>
        <w:tc>
          <w:tcPr/>
          <w:p>
            <w:pPr>
              <w:pStyle w:val="Compact"/>
            </w:pPr>
            <w:r>
              <w:t xml:space="preserve">Forest-wide searches</w:t>
            </w:r>
          </w:p>
        </w:tc>
      </w:tr>
      <w:tr>
        <w:tc>
          <w:tcPr/>
          <w:p>
            <w:pPr>
              <w:pStyle w:val="Compact"/>
            </w:pPr>
            <w:r>
              <w:t xml:space="preserve">Kerberos</w:t>
            </w:r>
          </w:p>
        </w:tc>
        <w:tc>
          <w:tcPr/>
          <w:p>
            <w:pPr>
              <w:pStyle w:val="Compact"/>
            </w:pPr>
            <w:r>
              <w:t xml:space="preserve">TCP/UDP 88</w:t>
            </w:r>
          </w:p>
        </w:tc>
        <w:tc>
          <w:tcPr/>
          <w:p>
            <w:pPr>
              <w:pStyle w:val="Compact"/>
            </w:pPr>
            <w:r>
              <w:t xml:space="preserve">Domain controllers</w:t>
            </w:r>
          </w:p>
        </w:tc>
        <w:tc>
          <w:tcPr/>
          <w:p>
            <w:pPr>
              <w:pStyle w:val="Compact"/>
            </w:pPr>
            <w:r>
              <w:t xml:space="preserve">Authentication</w:t>
            </w:r>
          </w:p>
        </w:tc>
      </w:tr>
      <w:tr>
        <w:tc>
          <w:tcPr/>
          <w:p>
            <w:pPr>
              <w:pStyle w:val="Compact"/>
            </w:pPr>
            <w:r>
              <w:t xml:space="preserve">DNS</w:t>
            </w:r>
          </w:p>
        </w:tc>
        <w:tc>
          <w:tcPr/>
          <w:p>
            <w:pPr>
              <w:pStyle w:val="Compact"/>
            </w:pPr>
            <w:r>
              <w:t xml:space="preserve">TCP/UDP 53</w:t>
            </w:r>
          </w:p>
        </w:tc>
        <w:tc>
          <w:tcPr/>
          <w:p>
            <w:pPr>
              <w:pStyle w:val="Compact"/>
            </w:pPr>
            <w:r>
              <w:t xml:space="preserve">DNS servers</w:t>
            </w:r>
          </w:p>
        </w:tc>
        <w:tc>
          <w:tcPr/>
          <w:p>
            <w:pPr>
              <w:pStyle w:val="Compact"/>
            </w:pPr>
            <w:r>
              <w:t xml:space="preserve">Name resolution and SRV checks</w:t>
            </w:r>
          </w:p>
        </w:tc>
      </w:tr>
      <w:tr>
        <w:tc>
          <w:tcPr/>
          <w:p>
            <w:pPr>
              <w:pStyle w:val="Compact"/>
            </w:pPr>
            <w:r>
              <w:t xml:space="preserve">SMB</w:t>
            </w:r>
          </w:p>
        </w:tc>
        <w:tc>
          <w:tcPr/>
          <w:p>
            <w:pPr>
              <w:pStyle w:val="Compact"/>
            </w:pPr>
            <w:r>
              <w:t xml:space="preserve">TCP 445</w:t>
            </w:r>
          </w:p>
        </w:tc>
        <w:tc>
          <w:tcPr/>
          <w:p>
            <w:pPr>
              <w:pStyle w:val="Compact"/>
            </w:pPr>
            <w:r>
              <w:t xml:space="preserve">Domain controllers</w:t>
            </w:r>
          </w:p>
        </w:tc>
        <w:tc>
          <w:tcPr/>
          <w:p>
            <w:pPr>
              <w:pStyle w:val="Compact"/>
            </w:pPr>
            <w:r>
              <w:t xml:space="preserve">SYSVOL reads for GPO reports</w:t>
            </w:r>
          </w:p>
        </w:tc>
      </w:tr>
      <w:tr>
        <w:tc>
          <w:tcPr/>
          <w:p>
            <w:pPr>
              <w:pStyle w:val="Compact"/>
            </w:pPr>
            <w:r>
              <w:t xml:space="preserve">RPC</w:t>
            </w:r>
          </w:p>
        </w:tc>
        <w:tc>
          <w:tcPr/>
          <w:p>
            <w:pPr>
              <w:pStyle w:val="Compact"/>
            </w:pPr>
            <w:r>
              <w:t xml:space="preserve">TCP 135 plus 49152–65535</w:t>
            </w:r>
          </w:p>
        </w:tc>
        <w:tc>
          <w:tcPr/>
          <w:p>
            <w:pPr>
              <w:pStyle w:val="Compact"/>
            </w:pPr>
            <w:r>
              <w:t xml:space="preserve">Domain controllers, CAs, DNS servers</w:t>
            </w:r>
          </w:p>
        </w:tc>
        <w:tc>
          <w:tcPr/>
          <w:p>
            <w:pPr>
              <w:pStyle w:val="Compact"/>
            </w:pPr>
            <w:r>
              <w:t xml:space="preserve">GPO,</w:t>
            </w:r>
            <w:r>
              <w:t xml:space="preserve"> </w:t>
            </w:r>
            <w:r>
              <w:rPr>
                <w:rStyle w:val="VerbatimChar"/>
              </w:rPr>
              <w:t xml:space="preserve">certutil</w:t>
            </w:r>
            <w:r>
              <w:t xml:space="preserve"> </w:t>
            </w:r>
            <w:r>
              <w:t xml:space="preserve">and</w:t>
            </w:r>
            <w:r>
              <w:t xml:space="preserve"> </w:t>
            </w:r>
            <w:r>
              <w:rPr>
                <w:rStyle w:val="VerbatimChar"/>
              </w:rPr>
              <w:t xml:space="preserve">netdom</w:t>
            </w:r>
            <w:r>
              <w:t xml:space="preserve"> </w:t>
            </w:r>
            <w:r>
              <w:t xml:space="preserve">operations</w:t>
            </w:r>
          </w:p>
        </w:tc>
      </w:tr>
      <w:tr>
        <w:tc>
          <w:tcPr/>
          <w:p>
            <w:pPr>
              <w:pStyle w:val="Compact"/>
            </w:pPr>
            <w:r>
              <w:t xml:space="preserve">WinRM</w:t>
            </w:r>
          </w:p>
        </w:tc>
        <w:tc>
          <w:tcPr/>
          <w:p>
            <w:pPr>
              <w:pStyle w:val="Compact"/>
            </w:pPr>
            <w:r>
              <w:t xml:space="preserve">TCP 5985 / 5986</w:t>
            </w:r>
          </w:p>
        </w:tc>
        <w:tc>
          <w:tcPr/>
          <w:p>
            <w:pPr>
              <w:pStyle w:val="Compact"/>
            </w:pPr>
            <w:r>
              <w:t xml:space="preserve">DNS servers, CAs</w:t>
            </w:r>
          </w:p>
        </w:tc>
        <w:tc>
          <w:tcPr/>
          <w:p>
            <w:pPr>
              <w:pStyle w:val="Compact"/>
            </w:pPr>
            <w:r>
              <w:t xml:space="preserve">PowerShell remoting, HTTP and HTTPS</w:t>
            </w:r>
          </w:p>
        </w:tc>
      </w:tr>
    </w:tbl>
    <w:p>
      <w:pPr>
        <w:pStyle w:val="BodyText"/>
      </w:pPr>
      <w:r>
        <w:t xml:space="preserve">The source table left out ADWS, which is the port the ActiveDirectory module actually uses: its cmdlets connect to ADWS on 9389, and ADWS queries the directory on their behalf.</w:t>
      </w:r>
      <w:r>
        <w:rPr>
          <w:rStyle w:val="FootnoteReference"/>
        </w:rPr>
        <w:footnoteReference w:id="196"/>
      </w:r>
      <w:r>
        <w:t xml:space="preserve"> </w:t>
      </w:r>
      <w:r>
        <w:t xml:space="preserve">It also left out SMB. The other ports are as Microsoft lists them for Active Directory and for PowerShell remoting.</w:t>
      </w:r>
      <w:r>
        <w:rPr>
          <w:rStyle w:val="FootnoteReference"/>
        </w:rPr>
        <w:footnoteReference w:id="198"/>
      </w:r>
      <w:r>
        <w:rPr>
          <w:rStyle w:val="FootnoteReference"/>
        </w:rPr>
        <w:footnoteReference w:id="200"/>
      </w:r>
    </w:p>
    <w:bookmarkEnd w:id="202"/>
    <w:bookmarkStart w:id="203" w:name="handling"/>
    <w:p>
      <w:pPr>
        <w:pStyle w:val="Heading3"/>
      </w:pPr>
      <w:r>
        <w:t xml:space="preserve">Handling</w:t>
      </w:r>
    </w:p>
    <w:p>
      <w:pPr>
        <w:pStyle w:val="FirstParagraph"/>
      </w:pPr>
      <w:r>
        <w:t xml:space="preserve">The program’s design rules for the data:</w:t>
      </w:r>
    </w:p>
    <w:p>
      <w:pPr>
        <w:pStyle w:val="Compact"/>
        <w:numPr>
          <w:ilvl w:val="0"/>
          <w:numId w:val="1008"/>
        </w:numPr>
      </w:pPr>
      <w:r>
        <w:t xml:space="preserve">Store the output tree on an encrypted volume, and the Gitea data directory likewise.</w:t>
      </w:r>
    </w:p>
    <w:p>
      <w:pPr>
        <w:pStyle w:val="Compact"/>
        <w:numPr>
          <w:ilvl w:val="0"/>
          <w:numId w:val="1008"/>
        </w:numPr>
      </w:pPr>
      <w:r>
        <w:t xml:space="preserve">Restrict the repository to the assessment team and the plan owners; it’s not a general engineering repository.</w:t>
      </w:r>
    </w:p>
    <w:p>
      <w:pPr>
        <w:pStyle w:val="Compact"/>
        <w:numPr>
          <w:ilvl w:val="0"/>
          <w:numId w:val="1008"/>
        </w:numPr>
      </w:pPr>
      <w:r>
        <w:t xml:space="preserve">Keep runs for at least 12 months, archive older runs, and delete runs older than 36 months unless a legal hold applies.</w:t>
      </w:r>
    </w:p>
    <w:p>
      <w:pPr>
        <w:pStyle w:val="Compact"/>
        <w:numPr>
          <w:ilvl w:val="0"/>
          <w:numId w:val="1008"/>
        </w:numPr>
      </w:pPr>
      <w:r>
        <w:t xml:space="preserve">Log every run to the Windows Application log under the source</w:t>
      </w:r>
      <w:r>
        <w:t xml:space="preserve"> </w:t>
      </w:r>
      <w:r>
        <w:rPr>
          <w:rStyle w:val="VerbatimChar"/>
        </w:rPr>
        <w:t xml:space="preserve">FMPAssessment</w:t>
      </w:r>
      <w:r>
        <w:t xml:space="preserve"> </w:t>
      </w:r>
      <w:r>
        <w:t xml:space="preserve">and to</w:t>
      </w:r>
      <w:r>
        <w:t xml:space="preserve"> </w:t>
      </w:r>
      <w:r>
        <w:rPr>
          <w:rStyle w:val="VerbatimChar"/>
        </w:rPr>
        <w:t xml:space="preserve">D:\FMP\Logs\Assessment.log</w:t>
      </w:r>
      <w:r>
        <w:t xml:space="preserve">.</w:t>
      </w:r>
    </w:p>
    <w:p>
      <w:pPr>
        <w:pStyle w:val="Compact"/>
        <w:numPr>
          <w:ilvl w:val="0"/>
          <w:numId w:val="1008"/>
        </w:numPr>
      </w:pPr>
      <w:r>
        <w:t xml:space="preserve">Sign the module and run it under an</w:t>
      </w:r>
      <w:r>
        <w:t xml:space="preserve"> </w:t>
      </w:r>
      <w:r>
        <w:rPr>
          <w:rStyle w:val="VerbatimChar"/>
        </w:rPr>
        <w:t xml:space="preserve">AllSigned</w:t>
      </w:r>
      <w:r>
        <w:t xml:space="preserve"> </w:t>
      </w:r>
      <w:r>
        <w:t xml:space="preserve">or</w:t>
      </w:r>
      <w:r>
        <w:t xml:space="preserve"> </w:t>
      </w:r>
      <w:r>
        <w:rPr>
          <w:rStyle w:val="VerbatimChar"/>
        </w:rPr>
        <w:t xml:space="preserve">RemoteSigned</w:t>
      </w:r>
      <w:r>
        <w:t xml:space="preserve"> </w:t>
      </w:r>
      <w:r>
        <w:t xml:space="preserve">policy, rather than the source’s</w:t>
      </w:r>
      <w:r>
        <w:t xml:space="preserve"> </w:t>
      </w:r>
      <w:r>
        <w:rPr>
          <w:rStyle w:val="VerbatimChar"/>
        </w:rPr>
        <w:t xml:space="preserve">-ExecutionPolicy Bypass</w:t>
      </w:r>
      <w:r>
        <w:t xml:space="preserve">.</w:t>
      </w:r>
    </w:p>
    <w:bookmarkEnd w:id="203"/>
    <w:bookmarkEnd w:id="204"/>
    <w:bookmarkStart w:id="210" w:name="troubleshooting"/>
    <w:p>
      <w:pPr>
        <w:pStyle w:val="Heading2"/>
      </w:pPr>
      <w:r>
        <w:t xml:space="preserve">Troubleshooting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Resolution</w:t>
            </w:r>
          </w:p>
        </w:tc>
      </w:tr>
      <w:tr>
        <w:tc>
          <w:tcPr/>
          <w:p>
            <w:pPr>
              <w:pStyle w:val="Compact"/>
            </w:pPr>
            <w:r>
              <w:rPr>
                <w:rStyle w:val="VerbatimChar"/>
              </w:rPr>
              <w:t xml:space="preserve">Get-ADForest</w:t>
            </w:r>
            <w:r>
              <w:t xml:space="preserve">: unable to find a default server with Active Directory Web Services running</w:t>
            </w:r>
          </w:p>
        </w:tc>
        <w:tc>
          <w:tcPr/>
          <w:p>
            <w:pPr>
              <w:pStyle w:val="Compact"/>
            </w:pPr>
            <w:r>
              <w:t xml:space="preserve">Host can’t reach a DC on TCP 9389, or ADWS is stopped</w:t>
            </w:r>
          </w:p>
        </w:tc>
        <w:tc>
          <w:tcPr/>
          <w:p>
            <w:pPr>
              <w:pStyle w:val="Compact"/>
            </w:pPr>
            <w:r>
              <w:rPr>
                <w:rStyle w:val="VerbatimChar"/>
              </w:rPr>
              <w:t xml:space="preserve">Test-NetConnection &lt;DC&gt; -Port 9389</w:t>
            </w:r>
            <w:r>
              <w:t xml:space="preserve">; start ADWS on the DC; target a DC with</w:t>
            </w:r>
            <w:r>
              <w:t xml:space="preserve"> </w:t>
            </w:r>
            <w:r>
              <w:rPr>
                <w:rStyle w:val="VerbatimChar"/>
              </w:rPr>
              <w:t xml:space="preserve">-Server</w:t>
            </w:r>
            <w:r>
              <w:rPr>
                <w:rStyle w:val="FootnoteReference"/>
              </w:rPr>
              <w:footnoteReference w:id="205"/>
            </w:r>
          </w:p>
        </w:tc>
      </w:tr>
      <w:tr>
        <w:tc>
          <w:tcPr/>
          <w:p>
            <w:pPr>
              <w:pStyle w:val="Compact"/>
            </w:pPr>
            <w:r>
              <w:rPr>
                <w:rStyle w:val="VerbatimChar"/>
              </w:rPr>
              <w:t xml:space="preserve">The term 'Get-ADForest' is not recognized</w:t>
            </w:r>
          </w:p>
        </w:tc>
        <w:tc>
          <w:tcPr/>
          <w:p>
            <w:pPr>
              <w:pStyle w:val="Compact"/>
            </w:pPr>
            <w:r>
              <w:t xml:space="preserve">ActiveDirectory module not installed</w:t>
            </w:r>
          </w:p>
        </w:tc>
        <w:tc>
          <w:tcPr/>
          <w:p>
            <w:pPr>
              <w:pStyle w:val="Compact"/>
            </w:pPr>
            <w:r>
              <w:t xml:space="preserve">Run</w:t>
            </w:r>
            <w:r>
              <w:t xml:space="preserve"> </w:t>
            </w:r>
            <w:r>
              <w:rPr>
                <w:rStyle w:val="VerbatimChar"/>
              </w:rPr>
              <w:t xml:space="preserve">Test-FMPPrerequisites</w:t>
            </w:r>
            <w:r>
              <w:t xml:space="preserve">; install the RSAT capability or feature</w:t>
            </w:r>
          </w:p>
        </w:tc>
      </w:tr>
      <w:tr>
        <w:tc>
          <w:tcPr/>
          <w:p>
            <w:pPr>
              <w:pStyle w:val="Compact"/>
            </w:pPr>
            <w:r>
              <w:rPr>
                <w:rStyle w:val="VerbatimChar"/>
              </w:rPr>
              <w:t xml:space="preserve">Get-GPOReport</w:t>
            </w:r>
            <w:r>
              <w:t xml:space="preserve">: access is denied</w:t>
            </w:r>
          </w:p>
        </w:tc>
        <w:tc>
          <w:tcPr/>
          <w:p>
            <w:pPr>
              <w:pStyle w:val="Compact"/>
            </w:pPr>
            <w:r>
              <w:t xml:space="preserve">Account lacks read on the GPO or SYSVOL</w:t>
            </w:r>
          </w:p>
        </w:tc>
        <w:tc>
          <w:tcPr/>
          <w:p>
            <w:pPr>
              <w:pStyle w:val="Compact"/>
            </w:pPr>
            <w:r>
              <w:t xml:space="preserve">Check</w:t>
            </w:r>
            <w:r>
              <w:t xml:space="preserve"> </w:t>
            </w:r>
            <w:r>
              <w:rPr>
                <w:rStyle w:val="VerbatimChar"/>
              </w:rPr>
              <w:t xml:space="preserve">\\&lt;domain&gt;\SYSVOL</w:t>
            </w:r>
            <w:r>
              <w:t xml:space="preserve"> </w:t>
            </w:r>
            <w:r>
              <w:t xml:space="preserve">access; grant read through GPMC delegation</w:t>
            </w:r>
          </w:p>
        </w:tc>
      </w:tr>
      <w:tr>
        <w:tc>
          <w:tcPr/>
          <w:p>
            <w:pPr>
              <w:pStyle w:val="Compact"/>
            </w:pPr>
            <w:r>
              <w:rPr>
                <w:rStyle w:val="VerbatimChar"/>
              </w:rPr>
              <w:t xml:space="preserve">Get-DnsServerZone</w:t>
            </w:r>
            <w:r>
              <w:t xml:space="preserve">: the RPC server is unavailable, or WinRM errors</w:t>
            </w:r>
          </w:p>
        </w:tc>
        <w:tc>
          <w:tcPr/>
          <w:p>
            <w:pPr>
              <w:pStyle w:val="Compact"/>
            </w:pPr>
            <w:r>
              <w:t xml:space="preserve">Remote management blocked to the DNS server</w:t>
            </w:r>
          </w:p>
        </w:tc>
        <w:tc>
          <w:tcPr/>
          <w:p>
            <w:pPr>
              <w:pStyle w:val="Compact"/>
            </w:pPr>
            <w:r>
              <w:rPr>
                <w:rStyle w:val="VerbatimChar"/>
              </w:rPr>
              <w:t xml:space="preserve">Test-WSMan &lt;server&gt;</w:t>
            </w:r>
            <w:r>
              <w:t xml:space="preserve">; enable remoting on the server; open the WinRM rule</w:t>
            </w:r>
          </w:p>
        </w:tc>
      </w:tr>
      <w:tr>
        <w:tc>
          <w:tcPr/>
          <w:p>
            <w:pPr>
              <w:pStyle w:val="Compact"/>
            </w:pPr>
            <w:r>
              <w:t xml:space="preserve">No CA found</w:t>
            </w:r>
          </w:p>
        </w:tc>
        <w:tc>
          <w:tcPr/>
          <w:p>
            <w:pPr>
              <w:pStyle w:val="Compact"/>
            </w:pPr>
            <w:r>
              <w:t xml:space="preserve">No enterprise CA in the forest, or no read on Public Key Services</w:t>
            </w:r>
          </w:p>
        </w:tc>
        <w:tc>
          <w:tcPr/>
          <w:p>
            <w:pPr>
              <w:pStyle w:val="Compact"/>
            </w:pPr>
            <w:r>
              <w:rPr>
                <w:rStyle w:val="VerbatimChar"/>
              </w:rPr>
              <w:t xml:space="preserve">certutil -ADCA</w:t>
            </w:r>
            <w:r>
              <w:t xml:space="preserve">; read</w:t>
            </w:r>
            <w:r>
              <w:t xml:space="preserve"> </w:t>
            </w:r>
            <w:r>
              <w:rPr>
                <w:rStyle w:val="VerbatimChar"/>
              </w:rPr>
              <w:t xml:space="preserve">CN=Enrollment Services</w:t>
            </w:r>
            <w:r>
              <w:t xml:space="preserve"> </w:t>
            </w:r>
            <w:r>
              <w:t xml:space="preserve">with</w:t>
            </w:r>
            <w:r>
              <w:t xml:space="preserve"> </w:t>
            </w:r>
            <w:r>
              <w:rPr>
                <w:rStyle w:val="VerbatimChar"/>
              </w:rPr>
              <w:t xml:space="preserve">Get-ADObject</w:t>
            </w:r>
          </w:p>
        </w:tc>
      </w:tr>
      <w:tr>
        <w:tc>
          <w:tcPr/>
          <w:p>
            <w:pPr>
              <w:pStyle w:val="Compact"/>
            </w:pPr>
            <w:r>
              <w:t xml:space="preserve">Large queries time out or return partial results</w:t>
            </w:r>
          </w:p>
        </w:tc>
        <w:tc>
          <w:tcPr/>
          <w:p>
            <w:pPr>
              <w:pStyle w:val="Compact"/>
            </w:pPr>
            <w:r>
              <w:t xml:space="preserve">Directory limits on page size or value ranges</w:t>
            </w:r>
          </w:p>
        </w:tc>
        <w:tc>
          <w:tcPr/>
          <w:p>
            <w:pPr>
              <w:pStyle w:val="Compact"/>
            </w:pPr>
            <w:r>
              <w:t xml:space="preserve">Scope with</w:t>
            </w:r>
            <w:r>
              <w:t xml:space="preserve"> </w:t>
            </w:r>
            <w:r>
              <w:rPr>
                <w:rStyle w:val="VerbatimChar"/>
              </w:rPr>
              <w:t xml:space="preserve">-SearchBase</w:t>
            </w:r>
            <w:r>
              <w:t xml:space="preserve">, set</w:t>
            </w:r>
            <w:r>
              <w:t xml:space="preserve"> </w:t>
            </w:r>
            <w:r>
              <w:rPr>
                <w:rStyle w:val="VerbatimChar"/>
              </w:rPr>
              <w:t xml:space="preserve">-ResultPageSize</w:t>
            </w:r>
            <w:r>
              <w:t xml:space="preserve">; don’t raise LDAP policy limits</w:t>
            </w:r>
          </w:p>
        </w:tc>
      </w:tr>
      <w:tr>
        <w:tc>
          <w:tcPr/>
          <w:p>
            <w:pPr>
              <w:pStyle w:val="Compact"/>
            </w:pPr>
            <w:r>
              <w:t xml:space="preserve">Cross-domain failures</w:t>
            </w:r>
          </w:p>
        </w:tc>
        <w:tc>
          <w:tcPr/>
          <w:p>
            <w:pPr>
              <w:pStyle w:val="Compact"/>
            </w:pPr>
            <w:r>
              <w:t xml:space="preserve">Trust not verified, or selective authentication blocks the account</w:t>
            </w:r>
          </w:p>
        </w:tc>
        <w:tc>
          <w:tcPr/>
          <w:p>
            <w:pPr>
              <w:pStyle w:val="Compact"/>
            </w:pPr>
            <w:r>
              <w:rPr>
                <w:rStyle w:val="VerbatimChar"/>
              </w:rPr>
              <w:t xml:space="preserve">netdom trust ... /verify</w:t>
            </w:r>
            <w:r>
              <w:t xml:space="preserve">; check the trust’s attributes; pass</w:t>
            </w:r>
            <w:r>
              <w:t xml:space="preserve"> </w:t>
            </w:r>
            <w:r>
              <w:rPr>
                <w:rStyle w:val="VerbatimChar"/>
              </w:rPr>
              <w:t xml:space="preserve">-Credential</w:t>
            </w:r>
          </w:p>
        </w:tc>
      </w:tr>
    </w:tbl>
    <w:p>
      <w:pPr>
        <w:pStyle w:val="BodyText"/>
      </w:pPr>
      <w:r>
        <w:t xml:space="preserve">Two of the source’s resolutions were unsafe and are removed. Setting</w:t>
      </w:r>
      <w:r>
        <w:t xml:space="preserve"> </w:t>
      </w:r>
      <w:r>
        <w:rPr>
          <w:rStyle w:val="VerbatimChar"/>
        </w:rPr>
        <w:t xml:space="preserve">TrustedHosts</w:t>
      </w:r>
      <w:r>
        <w:t xml:space="preserve"> </w:t>
      </w:r>
      <w:r>
        <w:t xml:space="preserve">to a domain wildcard tells the WinRM client to send credentials to hosts it hasn’t authenticated; in a domain, Kerberos authentication doesn’t need</w:t>
      </w:r>
      <w:r>
        <w:t xml:space="preserve"> </w:t>
      </w:r>
      <w:r>
        <w:rPr>
          <w:rStyle w:val="VerbatimChar"/>
        </w:rPr>
        <w:t xml:space="preserve">TrustedHosts</w:t>
      </w:r>
      <w:r>
        <w:t xml:space="preserve"> </w:t>
      </w:r>
      <w:r>
        <w:t xml:space="preserve">at all.</w:t>
      </w:r>
      <w:r>
        <w:rPr>
          <w:rStyle w:val="FootnoteReference"/>
        </w:rPr>
        <w:footnoteReference w:id="206"/>
      </w:r>
      <w:r>
        <w:t xml:space="preserve"> </w:t>
      </w:r>
      <w:r>
        <w:t xml:space="preserve">Raising LDAP</w:t>
      </w:r>
      <w:r>
        <w:t xml:space="preserve"> </w:t>
      </w:r>
      <w:r>
        <w:rPr>
          <w:rStyle w:val="VerbatimChar"/>
        </w:rPr>
        <w:t xml:space="preserve">MaxPageSize</w:t>
      </w:r>
      <w:r>
        <w:t xml:space="preserve"> </w:t>
      </w:r>
      <w:r>
        <w:t xml:space="preserve">with</w:t>
      </w:r>
      <w:r>
        <w:t xml:space="preserve"> </w:t>
      </w:r>
      <w:r>
        <w:rPr>
          <w:rStyle w:val="VerbatimChar"/>
        </w:rPr>
        <w:t xml:space="preserve">ntdsutil</w:t>
      </w:r>
      <w:r>
        <w:t xml:space="preserve"> </w:t>
      </w:r>
      <w:r>
        <w:t xml:space="preserve">changes a forest-wide protection whose default is 1,000 records; Microsoft documents raising it only temporarily, for a specific recovery, and restoring it afterwards.</w:t>
      </w:r>
      <w:r>
        <w:rPr>
          <w:rStyle w:val="FootnoteReference"/>
        </w:rPr>
        <w:footnoteReference w:id="208"/>
      </w:r>
    </w:p>
    <w:bookmarkEnd w:id="210"/>
    <w:bookmarkStart w:id="211" w:name="output-schema-reference"/>
    <w:p>
      <w:pPr>
        <w:pStyle w:val="Heading2"/>
      </w:pPr>
      <w:r>
        <w:t xml:space="preserve">Output schema reference</w:t>
      </w:r>
    </w:p>
    <w:p>
      <w:pPr>
        <w:pStyle w:val="FirstParagraph"/>
      </w:pPr>
      <w:r>
        <w:t xml:space="preserve">Every JSON file is either a root object with an</w:t>
      </w:r>
      <w:r>
        <w:t xml:space="preserve"> </w:t>
      </w:r>
      <w:r>
        <w:rPr>
          <w:rStyle w:val="VerbatimChar"/>
        </w:rPr>
        <w:t xml:space="preserve">AssessmentTimestamp</w:t>
      </w:r>
      <w:r>
        <w:t xml:space="preserve"> </w:t>
      </w:r>
      <w:r>
        <w:t xml:space="preserve">and named arrays, or an array of objects. Field-level schemas and examples are in</w:t>
      </w:r>
      <w:r>
        <w:t xml:space="preserve"> </w:t>
      </w:r>
      <w:hyperlink r:id="rId12">
        <w:r>
          <w:rPr>
            <w:rStyle w:val="Hyperlink"/>
          </w:rPr>
          <w:t xml:space="preserve">Appendix B</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File</w:t>
            </w:r>
          </w:p>
        </w:tc>
        <w:tc>
          <w:tcPr/>
          <w:p>
            <w:pPr>
              <w:pStyle w:val="Compact"/>
            </w:pPr>
            <w:r>
              <w:t xml:space="preserve">Root</w:t>
            </w:r>
          </w:p>
        </w:tc>
        <w:tc>
          <w:tcPr/>
          <w:p>
            <w:pPr>
              <w:pStyle w:val="Compact"/>
            </w:pPr>
            <w:r>
              <w:t xml:space="preserve">Primary contents</w:t>
            </w:r>
          </w:p>
        </w:tc>
      </w:tr>
      <w:tr>
        <w:tc>
          <w:tcPr/>
          <w:p>
            <w:pPr>
              <w:pStyle w:val="Compact"/>
            </w:pPr>
            <w:r>
              <w:rPr>
                <w:rStyle w:val="VerbatimChar"/>
              </w:rPr>
              <w:t xml:space="preserve">ForestTopology.json</w:t>
            </w:r>
          </w:p>
        </w:tc>
        <w:tc>
          <w:tcPr/>
          <w:p>
            <w:pPr>
              <w:pStyle w:val="Compact"/>
            </w:pPr>
            <w:r>
              <w:t xml:space="preserve">Object</w:t>
            </w:r>
          </w:p>
        </w:tc>
        <w:tc>
          <w:tcPr/>
          <w:p>
            <w:pPr>
              <w:pStyle w:val="Compact"/>
            </w:pPr>
            <w:r>
              <w:rPr>
                <w:rStyle w:val="VerbatimChar"/>
              </w:rPr>
              <w:t xml:space="preserve">Forest</w:t>
            </w:r>
            <w:r>
              <w:t xml:space="preserve">,</w:t>
            </w:r>
            <w:r>
              <w:t xml:space="preserve"> </w:t>
            </w:r>
            <w:r>
              <w:rPr>
                <w:rStyle w:val="VerbatimChar"/>
              </w:rPr>
              <w:t xml:space="preserve">Domains[]</w:t>
            </w:r>
            <w:r>
              <w:t xml:space="preserve">,</w:t>
            </w:r>
            <w:r>
              <w:t xml:space="preserve"> </w:t>
            </w:r>
            <w:r>
              <w:rPr>
                <w:rStyle w:val="VerbatimChar"/>
              </w:rPr>
              <w:t xml:space="preserve">DomainControllers[]</w:t>
            </w:r>
            <w:r>
              <w:t xml:space="preserve">,</w:t>
            </w:r>
            <w:r>
              <w:t xml:space="preserve"> </w:t>
            </w:r>
            <w:r>
              <w:rPr>
                <w:rStyle w:val="VerbatimChar"/>
              </w:rPr>
              <w:t xml:space="preserve">Sites[]</w:t>
            </w:r>
            <w:r>
              <w:t xml:space="preserve">,</w:t>
            </w:r>
            <w:r>
              <w:t xml:space="preserve"> </w:t>
            </w:r>
            <w:r>
              <w:rPr>
                <w:rStyle w:val="VerbatimChar"/>
              </w:rPr>
              <w:t xml:space="preserve">SiteLinks[]</w:t>
            </w:r>
            <w:r>
              <w:t xml:space="preserve">,</w:t>
            </w:r>
            <w:r>
              <w:t xml:space="preserve"> </w:t>
            </w:r>
            <w:r>
              <w:rPr>
                <w:rStyle w:val="VerbatimChar"/>
              </w:rPr>
              <w:t xml:space="preserve">Subnets[]</w:t>
            </w:r>
            <w:r>
              <w:t xml:space="preserve">,</w:t>
            </w:r>
            <w:r>
              <w:t xml:space="preserve"> </w:t>
            </w:r>
            <w:r>
              <w:rPr>
                <w:rStyle w:val="VerbatimChar"/>
              </w:rPr>
              <w:t xml:space="preserve">FSMORoles[]</w:t>
            </w:r>
          </w:p>
        </w:tc>
      </w:tr>
      <w:tr>
        <w:tc>
          <w:tcPr/>
          <w:p>
            <w:pPr>
              <w:pStyle w:val="Compact"/>
            </w:pPr>
            <w:r>
              <w:rPr>
                <w:rStyle w:val="VerbatimChar"/>
              </w:rPr>
              <w:t xml:space="preserve">OUHierarchy.json</w:t>
            </w:r>
          </w:p>
        </w:tc>
        <w:tc>
          <w:tcPr/>
          <w:p>
            <w:pPr>
              <w:pStyle w:val="Compact"/>
            </w:pPr>
            <w:r>
              <w:t xml:space="preserve">Array of nodes</w:t>
            </w:r>
          </w:p>
        </w:tc>
        <w:tc>
          <w:tcPr/>
          <w:p>
            <w:pPr>
              <w:pStyle w:val="Compact"/>
            </w:pPr>
            <w:r>
              <w:t xml:space="preserve">Name, DN, description, linked GPOs, object counts,</w:t>
            </w:r>
            <w:r>
              <w:t xml:space="preserve"> </w:t>
            </w:r>
            <w:r>
              <w:rPr>
                <w:rStyle w:val="VerbatimChar"/>
              </w:rPr>
              <w:t xml:space="preserve">Children[]</w:t>
            </w:r>
          </w:p>
        </w:tc>
      </w:tr>
      <w:tr>
        <w:tc>
          <w:tcPr/>
          <w:p>
            <w:pPr>
              <w:pStyle w:val="Compact"/>
            </w:pPr>
            <w:r>
              <w:rPr>
                <w:rStyle w:val="VerbatimChar"/>
              </w:rPr>
              <w:t xml:space="preserve">GPOInventory.json</w:t>
            </w:r>
          </w:p>
        </w:tc>
        <w:tc>
          <w:tcPr/>
          <w:p>
            <w:pPr>
              <w:pStyle w:val="Compact"/>
            </w:pPr>
            <w:r>
              <w:t xml:space="preserve">Array</w:t>
            </w:r>
          </w:p>
        </w:tc>
        <w:tc>
          <w:tcPr/>
          <w:p>
            <w:pPr>
              <w:pStyle w:val="Compact"/>
            </w:pPr>
            <w:r>
              <w:t xml:space="preserve">Display name, ID,</w:t>
            </w:r>
            <w:r>
              <w:t xml:space="preserve"> </w:t>
            </w:r>
            <w:r>
              <w:rPr>
                <w:rStyle w:val="VerbatimChar"/>
              </w:rPr>
              <w:t xml:space="preserve">GpoStatus</w:t>
            </w:r>
            <w:r>
              <w:t xml:space="preserve">, times, owner, WMI filter</w:t>
            </w:r>
          </w:p>
        </w:tc>
      </w:tr>
      <w:tr>
        <w:tc>
          <w:tcPr/>
          <w:p>
            <w:pPr>
              <w:pStyle w:val="Compact"/>
            </w:pPr>
            <w:r>
              <w:rPr>
                <w:rStyle w:val="VerbatimChar"/>
              </w:rPr>
              <w:t xml:space="preserve">DNSInventory.json</w:t>
            </w:r>
          </w:p>
        </w:tc>
        <w:tc>
          <w:tcPr/>
          <w:p>
            <w:pPr>
              <w:pStyle w:val="Compact"/>
            </w:pPr>
            <w:r>
              <w:t xml:space="preserve">Object</w:t>
            </w:r>
          </w:p>
        </w:tc>
        <w:tc>
          <w:tcPr/>
          <w:p>
            <w:pPr>
              <w:pStyle w:val="Compact"/>
            </w:pPr>
            <w:r>
              <w:rPr>
                <w:rStyle w:val="VerbatimChar"/>
              </w:rPr>
              <w:t xml:space="preserve">DnsServer</w:t>
            </w:r>
            <w:r>
              <w:t xml:space="preserve">,</w:t>
            </w:r>
            <w:r>
              <w:t xml:space="preserve"> </w:t>
            </w:r>
            <w:r>
              <w:rPr>
                <w:rStyle w:val="VerbatimChar"/>
              </w:rPr>
              <w:t xml:space="preserve">Zones[]</w:t>
            </w:r>
            <w:r>
              <w:t xml:space="preserve">,</w:t>
            </w:r>
            <w:r>
              <w:t xml:space="preserve"> </w:t>
            </w:r>
            <w:r>
              <w:rPr>
                <w:rStyle w:val="VerbatimChar"/>
              </w:rPr>
              <w:t xml:space="preserve">Scavenging</w:t>
            </w:r>
            <w:r>
              <w:t xml:space="preserve">,</w:t>
            </w:r>
            <w:r>
              <w:t xml:space="preserve"> </w:t>
            </w:r>
            <w:r>
              <w:rPr>
                <w:rStyle w:val="VerbatimChar"/>
              </w:rPr>
              <w:t xml:space="preserve">Forwarders</w:t>
            </w:r>
          </w:p>
        </w:tc>
      </w:tr>
      <w:tr>
        <w:tc>
          <w:tcPr/>
          <w:p>
            <w:pPr>
              <w:pStyle w:val="Compact"/>
            </w:pPr>
            <w:r>
              <w:rPr>
                <w:rStyle w:val="VerbatimChar"/>
              </w:rPr>
              <w:t xml:space="preserve">PKIInventory.json</w:t>
            </w:r>
          </w:p>
        </w:tc>
        <w:tc>
          <w:tcPr/>
          <w:p>
            <w:pPr>
              <w:pStyle w:val="Compact"/>
            </w:pPr>
            <w:r>
              <w:t xml:space="preserve">Object</w:t>
            </w:r>
          </w:p>
        </w:tc>
        <w:tc>
          <w:tcPr/>
          <w:p>
            <w:pPr>
              <w:pStyle w:val="Compact"/>
            </w:pPr>
            <w:r>
              <w:rPr>
                <w:rStyle w:val="VerbatimChar"/>
              </w:rPr>
              <w:t xml:space="preserve">CertificationAuthorities[]</w:t>
            </w:r>
            <w:r>
              <w:t xml:space="preserve">,</w:t>
            </w:r>
            <w:r>
              <w:t xml:space="preserve"> </w:t>
            </w:r>
            <w:r>
              <w:rPr>
                <w:rStyle w:val="VerbatimChar"/>
              </w:rPr>
              <w:t xml:space="preserve">CertificateTemplates[]</w:t>
            </w:r>
          </w:p>
        </w:tc>
      </w:tr>
      <w:tr>
        <w:tc>
          <w:tcPr/>
          <w:p>
            <w:pPr>
              <w:pStyle w:val="Compact"/>
            </w:pPr>
            <w:r>
              <w:rPr>
                <w:rStyle w:val="VerbatimChar"/>
              </w:rPr>
              <w:t xml:space="preserve">PKISecurityReport.json</w:t>
            </w:r>
          </w:p>
        </w:tc>
        <w:tc>
          <w:tcPr/>
          <w:p>
            <w:pPr>
              <w:pStyle w:val="Compact"/>
            </w:pPr>
            <w:r>
              <w:t xml:space="preserve">Array</w:t>
            </w:r>
          </w:p>
        </w:tc>
        <w:tc>
          <w:tcPr/>
          <w:p>
            <w:pPr>
              <w:pStyle w:val="Compact"/>
            </w:pPr>
            <w:r>
              <w:t xml:space="preserve">Finding, severity, template or CA, description, remediation</w:t>
            </w:r>
          </w:p>
        </w:tc>
      </w:tr>
      <w:tr>
        <w:tc>
          <w:tcPr/>
          <w:p>
            <w:pPr>
              <w:pStyle w:val="Compact"/>
            </w:pPr>
            <w:r>
              <w:rPr>
                <w:rStyle w:val="VerbatimChar"/>
              </w:rPr>
              <w:t xml:space="preserve">ComputerInventory.json</w:t>
            </w:r>
          </w:p>
        </w:tc>
        <w:tc>
          <w:tcPr/>
          <w:p>
            <w:pPr>
              <w:pStyle w:val="Compact"/>
            </w:pPr>
            <w:r>
              <w:t xml:space="preserve">Array</w:t>
            </w:r>
          </w:p>
        </w:tc>
        <w:tc>
          <w:tcPr/>
          <w:p>
            <w:pPr>
              <w:pStyle w:val="Compact"/>
            </w:pPr>
            <w:r>
              <w:t xml:space="preserve">Name, DNS name, OS, enabled, last logon, SPNs, delegation</w:t>
            </w:r>
          </w:p>
        </w:tc>
      </w:tr>
      <w:tr>
        <w:tc>
          <w:tcPr/>
          <w:p>
            <w:pPr>
              <w:pStyle w:val="Compact"/>
            </w:pPr>
            <w:r>
              <w:rPr>
                <w:rStyle w:val="VerbatimChar"/>
              </w:rPr>
              <w:t xml:space="preserve">UserInventory.json</w:t>
            </w:r>
          </w:p>
        </w:tc>
        <w:tc>
          <w:tcPr/>
          <w:p>
            <w:pPr>
              <w:pStyle w:val="Compact"/>
            </w:pPr>
            <w:r>
              <w:t xml:space="preserve">Array</w:t>
            </w:r>
          </w:p>
        </w:tc>
        <w:tc>
          <w:tcPr/>
          <w:p>
            <w:pPr>
              <w:pStyle w:val="Compact"/>
            </w:pPr>
            <w:r>
              <w:t xml:space="preserve">sAMAccountName, UPN, enabled, last logon,</w:t>
            </w:r>
            <w:r>
              <w:t xml:space="preserve"> </w:t>
            </w:r>
            <w:r>
              <w:rPr>
                <w:rStyle w:val="VerbatimChar"/>
              </w:rPr>
              <w:t xml:space="preserve">adminCount</w:t>
            </w:r>
            <w:r>
              <w:t xml:space="preserve">,</w:t>
            </w:r>
            <w:r>
              <w:t xml:space="preserve"> </w:t>
            </w:r>
            <w:r>
              <w:rPr>
                <w:rStyle w:val="VerbatimChar"/>
              </w:rPr>
              <w:t xml:space="preserve">MemberOf</w:t>
            </w:r>
          </w:p>
        </w:tc>
      </w:tr>
      <w:tr>
        <w:tc>
          <w:tcPr/>
          <w:p>
            <w:pPr>
              <w:pStyle w:val="Compact"/>
            </w:pPr>
            <w:r>
              <w:rPr>
                <w:rStyle w:val="VerbatimChar"/>
              </w:rPr>
              <w:t xml:space="preserve">GroupInventory.json</w:t>
            </w:r>
          </w:p>
        </w:tc>
        <w:tc>
          <w:tcPr/>
          <w:p>
            <w:pPr>
              <w:pStyle w:val="Compact"/>
            </w:pPr>
            <w:r>
              <w:t xml:space="preserve">Array</w:t>
            </w:r>
          </w:p>
        </w:tc>
        <w:tc>
          <w:tcPr/>
          <w:p>
            <w:pPr>
              <w:pStyle w:val="Compact"/>
            </w:pPr>
            <w:r>
              <w:t xml:space="preserve">sAMAccountName, category, scope, direct member count, empty flag</w:t>
            </w:r>
          </w:p>
        </w:tc>
      </w:tr>
      <w:tr>
        <w:tc>
          <w:tcPr/>
          <w:p>
            <w:pPr>
              <w:pStyle w:val="Compact"/>
            </w:pPr>
            <w:r>
              <w:rPr>
                <w:rStyle w:val="VerbatimChar"/>
              </w:rPr>
              <w:t xml:space="preserve">TrustMap.json</w:t>
            </w:r>
          </w:p>
        </w:tc>
        <w:tc>
          <w:tcPr/>
          <w:p>
            <w:pPr>
              <w:pStyle w:val="Compact"/>
            </w:pPr>
            <w:r>
              <w:t xml:space="preserve">Object</w:t>
            </w:r>
          </w:p>
        </w:tc>
        <w:tc>
          <w:tcPr/>
          <w:p>
            <w:pPr>
              <w:pStyle w:val="Compact"/>
            </w:pPr>
            <w:r>
              <w:rPr>
                <w:rStyle w:val="VerbatimChar"/>
              </w:rPr>
              <w:t xml:space="preserve">Domain</w:t>
            </w:r>
            <w:r>
              <w:t xml:space="preserve">,</w:t>
            </w:r>
            <w:r>
              <w:t xml:space="preserve"> </w:t>
            </w:r>
            <w:r>
              <w:rPr>
                <w:rStyle w:val="VerbatimChar"/>
              </w:rPr>
              <w:t xml:space="preserve">TrustCount</w:t>
            </w:r>
            <w:r>
              <w:t xml:space="preserve">,</w:t>
            </w:r>
            <w:r>
              <w:t xml:space="preserve"> </w:t>
            </w:r>
            <w:r>
              <w:rPr>
                <w:rStyle w:val="VerbatimChar"/>
              </w:rPr>
              <w:t xml:space="preserve">Trusts[]</w:t>
            </w:r>
          </w:p>
        </w:tc>
      </w:tr>
      <w:tr>
        <w:tc>
          <w:tcPr/>
          <w:p>
            <w:pPr>
              <w:pStyle w:val="Compact"/>
            </w:pPr>
            <w:r>
              <w:rPr>
                <w:rStyle w:val="VerbatimChar"/>
              </w:rPr>
              <w:t xml:space="preserve">AssessmentManifest.json</w:t>
            </w:r>
          </w:p>
        </w:tc>
        <w:tc>
          <w:tcPr/>
          <w:p>
            <w:pPr>
              <w:pStyle w:val="Compact"/>
            </w:pPr>
            <w:r>
              <w:t xml:space="preserve">Object</w:t>
            </w:r>
          </w:p>
        </w:tc>
        <w:tc>
          <w:tcPr/>
          <w:p>
            <w:pPr>
              <w:pStyle w:val="Compact"/>
            </w:pPr>
            <w:r>
              <w:t xml:space="preserve">Run identity and window,</w:t>
            </w:r>
            <w:r>
              <w:t xml:space="preserve"> </w:t>
            </w:r>
            <w:r>
              <w:rPr>
                <w:rStyle w:val="VerbatimChar"/>
              </w:rPr>
              <w:t xml:space="preserve">Files[]</w:t>
            </w:r>
            <w:r>
              <w:t xml:space="preserve"> </w:t>
            </w:r>
            <w:r>
              <w:t xml:space="preserve">with SHA-256 hashes</w:t>
            </w:r>
          </w:p>
        </w:tc>
      </w:tr>
    </w:tbl>
    <w:bookmarkEnd w:id="211"/>
    <w:bookmarkStart w:id="217" w:name="quick-reference"/>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w:t>
            </w:r>
          </w:p>
        </w:tc>
        <w:tc>
          <w:tcPr/>
          <w:p>
            <w:pPr>
              <w:pStyle w:val="Compact"/>
            </w:pPr>
            <w:r>
              <w:t xml:space="preserve">Purpose</w:t>
            </w:r>
          </w:p>
        </w:tc>
        <w:tc>
          <w:tcPr/>
          <w:p>
            <w:pPr>
              <w:pStyle w:val="Compact"/>
            </w:pPr>
            <w:r>
              <w:t xml:space="preserve">Main output</w:t>
            </w:r>
          </w:p>
        </w:tc>
      </w:tr>
      <w:tr>
        <w:tc>
          <w:tcPr/>
          <w:p>
            <w:pPr>
              <w:pStyle w:val="Compact"/>
            </w:pPr>
            <w:r>
              <w:rPr>
                <w:rStyle w:val="VerbatimChar"/>
              </w:rPr>
              <w:t xml:space="preserve">Test-FMPPrerequisites</w:t>
            </w:r>
          </w:p>
        </w:tc>
        <w:tc>
          <w:tcPr/>
          <w:p>
            <w:pPr>
              <w:pStyle w:val="Compact"/>
            </w:pPr>
            <w:r>
              <w:t xml:space="preserve">Check OS, modules, connectivity, output root</w:t>
            </w:r>
          </w:p>
        </w:tc>
        <w:tc>
          <w:tcPr/>
          <w:p>
            <w:pPr>
              <w:pStyle w:val="Compact"/>
            </w:pPr>
            <w:r>
              <w:t xml:space="preserve">Pass or fail table</w:t>
            </w:r>
          </w:p>
        </w:tc>
      </w:tr>
      <w:tr>
        <w:tc>
          <w:tcPr/>
          <w:p>
            <w:pPr>
              <w:pStyle w:val="Compact"/>
            </w:pPr>
            <w:r>
              <w:rPr>
                <w:rStyle w:val="VerbatimChar"/>
              </w:rPr>
              <w:t xml:space="preserve">Get-FMPForestTopology</w:t>
            </w:r>
          </w:p>
        </w:tc>
        <w:tc>
          <w:tcPr/>
          <w:p>
            <w:pPr>
              <w:pStyle w:val="Compact"/>
            </w:pPr>
            <w:r>
              <w:t xml:space="preserve">Forest, domains, DCs, sites, roles</w:t>
            </w:r>
          </w:p>
        </w:tc>
        <w:tc>
          <w:tcPr/>
          <w:p>
            <w:pPr>
              <w:pStyle w:val="Compact"/>
            </w:pPr>
            <w:r>
              <w:rPr>
                <w:rStyle w:val="VerbatimChar"/>
              </w:rPr>
              <w:t xml:space="preserve">ForestTopology.json</w:t>
            </w:r>
          </w:p>
        </w:tc>
      </w:tr>
      <w:tr>
        <w:tc>
          <w:tcPr/>
          <w:p>
            <w:pPr>
              <w:pStyle w:val="Compact"/>
            </w:pPr>
            <w:r>
              <w:rPr>
                <w:rStyle w:val="VerbatimChar"/>
              </w:rPr>
              <w:t xml:space="preserve">Get-FMPOUHierarchy</w:t>
            </w:r>
          </w:p>
        </w:tc>
        <w:tc>
          <w:tcPr/>
          <w:p>
            <w:pPr>
              <w:pStyle w:val="Compact"/>
            </w:pPr>
            <w:r>
              <w:t xml:space="preserve">OU tree, links, delegations</w:t>
            </w:r>
          </w:p>
        </w:tc>
        <w:tc>
          <w:tcPr/>
          <w:p>
            <w:pPr>
              <w:pStyle w:val="Compact"/>
            </w:pPr>
            <w:r>
              <w:rPr>
                <w:rStyle w:val="VerbatimChar"/>
              </w:rPr>
              <w:t xml:space="preserve">OUHierarchy.json</w:t>
            </w:r>
            <w:r>
              <w:t xml:space="preserve">,</w:t>
            </w:r>
            <w:r>
              <w:t xml:space="preserve"> </w:t>
            </w:r>
            <w:r>
              <w:rPr>
                <w:rStyle w:val="VerbatimChar"/>
              </w:rPr>
              <w:t xml:space="preserve">OUFlatList.csv</w:t>
            </w:r>
          </w:p>
        </w:tc>
      </w:tr>
      <w:tr>
        <w:tc>
          <w:tcPr/>
          <w:p>
            <w:pPr>
              <w:pStyle w:val="Compact"/>
            </w:pPr>
            <w:r>
              <w:rPr>
                <w:rStyle w:val="VerbatimChar"/>
              </w:rPr>
              <w:t xml:space="preserve">Get-FMPGPOInventory</w:t>
            </w:r>
          </w:p>
        </w:tc>
        <w:tc>
          <w:tcPr/>
          <w:p>
            <w:pPr>
              <w:pStyle w:val="Compact"/>
            </w:pPr>
            <w:r>
              <w:t xml:space="preserve">GPO inventory, reports, links, permissions, backup</w:t>
            </w:r>
          </w:p>
        </w:tc>
        <w:tc>
          <w:tcPr/>
          <w:p>
            <w:pPr>
              <w:pStyle w:val="Compact"/>
            </w:pPr>
            <w:r>
              <w:rPr>
                <w:rStyle w:val="VerbatimChar"/>
              </w:rPr>
              <w:t xml:space="preserve">GPOInventory.json</w:t>
            </w:r>
            <w:r>
              <w:t xml:space="preserve">, XML and HTML</w:t>
            </w:r>
          </w:p>
        </w:tc>
      </w:tr>
      <w:tr>
        <w:tc>
          <w:tcPr/>
          <w:p>
            <w:pPr>
              <w:pStyle w:val="Compact"/>
            </w:pPr>
            <w:r>
              <w:rPr>
                <w:rStyle w:val="VerbatimChar"/>
              </w:rPr>
              <w:t xml:space="preserve">Get-FMPDNSAssessment</w:t>
            </w:r>
          </w:p>
        </w:tc>
        <w:tc>
          <w:tcPr/>
          <w:p>
            <w:pPr>
              <w:pStyle w:val="Compact"/>
            </w:pPr>
            <w:r>
              <w:t xml:space="preserve">Zones, forwarders, DNSSEC, scavenging</w:t>
            </w:r>
          </w:p>
        </w:tc>
        <w:tc>
          <w:tcPr/>
          <w:p>
            <w:pPr>
              <w:pStyle w:val="Compact"/>
            </w:pPr>
            <w:r>
              <w:rPr>
                <w:rStyle w:val="VerbatimChar"/>
              </w:rPr>
              <w:t xml:space="preserve">DNSInventory.json</w:t>
            </w:r>
          </w:p>
        </w:tc>
      </w:tr>
      <w:tr>
        <w:tc>
          <w:tcPr/>
          <w:p>
            <w:pPr>
              <w:pStyle w:val="Compact"/>
            </w:pPr>
            <w:r>
              <w:rPr>
                <w:rStyle w:val="VerbatimChar"/>
              </w:rPr>
              <w:t xml:space="preserve">Get-FMPPKIAssessment</w:t>
            </w:r>
          </w:p>
        </w:tc>
        <w:tc>
          <w:tcPr/>
          <w:p>
            <w:pPr>
              <w:pStyle w:val="Compact"/>
            </w:pPr>
            <w:r>
              <w:t xml:space="preserve">CAs, templates, escalation patterns</w:t>
            </w:r>
          </w:p>
        </w:tc>
        <w:tc>
          <w:tcPr/>
          <w:p>
            <w:pPr>
              <w:pStyle w:val="Compact"/>
            </w:pPr>
            <w:r>
              <w:rPr>
                <w:rStyle w:val="VerbatimChar"/>
              </w:rPr>
              <w:t xml:space="preserve">PKIInventory.json</w:t>
            </w:r>
            <w:r>
              <w:t xml:space="preserve">,</w:t>
            </w:r>
            <w:r>
              <w:t xml:space="preserve"> </w:t>
            </w:r>
            <w:r>
              <w:rPr>
                <w:rStyle w:val="VerbatimChar"/>
              </w:rPr>
              <w:t xml:space="preserve">PKISecurityReport.json</w:t>
            </w:r>
          </w:p>
        </w:tc>
      </w:tr>
      <w:tr>
        <w:tc>
          <w:tcPr/>
          <w:p>
            <w:pPr>
              <w:pStyle w:val="Compact"/>
            </w:pPr>
            <w:r>
              <w:rPr>
                <w:rStyle w:val="VerbatimChar"/>
              </w:rPr>
              <w:t xml:space="preserve">Get-FMPComputerInventory</w:t>
            </w:r>
          </w:p>
        </w:tc>
        <w:tc>
          <w:tcPr/>
          <w:p>
            <w:pPr>
              <w:pStyle w:val="Compact"/>
            </w:pPr>
            <w:r>
              <w:t xml:space="preserve">Computers, OS, staleness, delegation</w:t>
            </w:r>
          </w:p>
        </w:tc>
        <w:tc>
          <w:tcPr/>
          <w:p>
            <w:pPr>
              <w:pStyle w:val="Compact"/>
            </w:pPr>
            <w:r>
              <w:rPr>
                <w:rStyle w:val="VerbatimChar"/>
              </w:rPr>
              <w:t xml:space="preserve">ComputerInventory.json</w:t>
            </w:r>
            <w:r>
              <w:t xml:space="preserve">, CSVs</w:t>
            </w:r>
          </w:p>
        </w:tc>
      </w:tr>
      <w:tr>
        <w:tc>
          <w:tcPr/>
          <w:p>
            <w:pPr>
              <w:pStyle w:val="Compact"/>
            </w:pPr>
            <w:r>
              <w:rPr>
                <w:rStyle w:val="VerbatimChar"/>
              </w:rPr>
              <w:t xml:space="preserve">Get-FMPUserInventory</w:t>
            </w:r>
          </w:p>
        </w:tc>
        <w:tc>
          <w:tcPr/>
          <w:p>
            <w:pPr>
              <w:pStyle w:val="Compact"/>
            </w:pPr>
            <w:r>
              <w:t xml:space="preserve">Users, privileged accounts, service accounts</w:t>
            </w:r>
          </w:p>
        </w:tc>
        <w:tc>
          <w:tcPr/>
          <w:p>
            <w:pPr>
              <w:pStyle w:val="Compact"/>
            </w:pPr>
            <w:r>
              <w:rPr>
                <w:rStyle w:val="VerbatimChar"/>
              </w:rPr>
              <w:t xml:space="preserve">UserInventory.json</w:t>
            </w:r>
            <w:r>
              <w:t xml:space="preserve">, CSVs</w:t>
            </w:r>
          </w:p>
        </w:tc>
      </w:tr>
      <w:tr>
        <w:tc>
          <w:tcPr/>
          <w:p>
            <w:pPr>
              <w:pStyle w:val="Compact"/>
            </w:pPr>
            <w:r>
              <w:rPr>
                <w:rStyle w:val="VerbatimChar"/>
              </w:rPr>
              <w:t xml:space="preserve">Get-FMPGroupInventory</w:t>
            </w:r>
          </w:p>
        </w:tc>
        <w:tc>
          <w:tcPr/>
          <w:p>
            <w:pPr>
              <w:pStyle w:val="Compact"/>
            </w:pPr>
            <w:r>
              <w:t xml:space="preserve">Groups, empty and circular nesting</w:t>
            </w:r>
          </w:p>
        </w:tc>
        <w:tc>
          <w:tcPr/>
          <w:p>
            <w:pPr>
              <w:pStyle w:val="Compact"/>
            </w:pPr>
            <w:r>
              <w:rPr>
                <w:rStyle w:val="VerbatimChar"/>
              </w:rPr>
              <w:t xml:space="preserve">GroupInventory.json</w:t>
            </w:r>
          </w:p>
        </w:tc>
      </w:tr>
      <w:tr>
        <w:tc>
          <w:tcPr/>
          <w:p>
            <w:pPr>
              <w:pStyle w:val="Compact"/>
            </w:pPr>
            <w:r>
              <w:rPr>
                <w:rStyle w:val="VerbatimChar"/>
              </w:rPr>
              <w:t xml:space="preserve">Get-FMPTrustMap</w:t>
            </w:r>
          </w:p>
        </w:tc>
        <w:tc>
          <w:tcPr/>
          <w:p>
            <w:pPr>
              <w:pStyle w:val="Compact"/>
            </w:pPr>
            <w:r>
              <w:t xml:space="preserve">Trusts and posture</w:t>
            </w:r>
          </w:p>
        </w:tc>
        <w:tc>
          <w:tcPr/>
          <w:p>
            <w:pPr>
              <w:pStyle w:val="Compact"/>
            </w:pPr>
            <w:r>
              <w:rPr>
                <w:rStyle w:val="VerbatimChar"/>
              </w:rPr>
              <w:t xml:space="preserve">TrustMap.json</w:t>
            </w:r>
          </w:p>
        </w:tc>
      </w:tr>
      <w:tr>
        <w:tc>
          <w:tcPr/>
          <w:p>
            <w:pPr>
              <w:pStyle w:val="Compact"/>
            </w:pPr>
            <w:r>
              <w:rPr>
                <w:rStyle w:val="VerbatimChar"/>
              </w:rPr>
              <w:t xml:space="preserve">Invoke-FMPADAssessment</w:t>
            </w:r>
          </w:p>
        </w:tc>
        <w:tc>
          <w:tcPr/>
          <w:p>
            <w:pPr>
              <w:pStyle w:val="Compact"/>
            </w:pPr>
            <w:r>
              <w:t xml:space="preserve">Run all collectors and write the manifest</w:t>
            </w:r>
          </w:p>
        </w:tc>
        <w:tc>
          <w:tcPr/>
          <w:p>
            <w:pPr>
              <w:pStyle w:val="Compact"/>
            </w:pPr>
            <w:r>
              <w:t xml:space="preserve">All files plus</w:t>
            </w:r>
            <w:r>
              <w:t xml:space="preserve"> </w:t>
            </w:r>
            <w:r>
              <w:rPr>
                <w:rStyle w:val="VerbatimChar"/>
              </w:rPr>
              <w:t xml:space="preserve">AssessmentManifest.json</w:t>
            </w:r>
          </w:p>
        </w:tc>
      </w:tr>
      <w:tr>
        <w:tc>
          <w:tcPr/>
          <w:p>
            <w:pPr>
              <w:pStyle w:val="Compact"/>
            </w:pPr>
            <w:r>
              <w:rPr>
                <w:rStyle w:val="VerbatimChar"/>
              </w:rPr>
              <w:t xml:space="preserve">Compare-FMPAssessments</w:t>
            </w:r>
          </w:p>
        </w:tc>
        <w:tc>
          <w:tcPr/>
          <w:p>
            <w:pPr>
              <w:pStyle w:val="Compact"/>
            </w:pPr>
            <w:r>
              <w:t xml:space="preserve">Compare two runs</w:t>
            </w:r>
          </w:p>
        </w:tc>
        <w:tc>
          <w:tcPr/>
          <w:p>
            <w:pPr>
              <w:pStyle w:val="Compact"/>
            </w:pPr>
            <w:r>
              <w:t xml:space="preserve">Drift report</w:t>
            </w:r>
          </w:p>
        </w:tc>
      </w:tr>
      <w:tr>
        <w:tc>
          <w:tcPr/>
          <w:p>
            <w:pPr>
              <w:pStyle w:val="Compact"/>
            </w:pPr>
            <w:r>
              <w:rPr>
                <w:rStyle w:val="VerbatimChar"/>
              </w:rPr>
              <w:t xml:space="preserve">Push-FMPAssessmentToGitea</w:t>
            </w:r>
          </w:p>
        </w:tc>
        <w:tc>
          <w:tcPr/>
          <w:p>
            <w:pPr>
              <w:pStyle w:val="Compact"/>
            </w:pPr>
            <w:r>
              <w:t xml:space="preserve">Commit a run as one commit on a run branch</w:t>
            </w:r>
          </w:p>
        </w:tc>
        <w:tc>
          <w:tcPr/>
          <w:p>
            <w:pPr>
              <w:pStyle w:val="Compact"/>
            </w:pPr>
            <w:r>
              <w:t xml:space="preserve">API response</w:t>
            </w:r>
          </w:p>
        </w:tc>
      </w:tr>
      <w:tr>
        <w:tc>
          <w:tcPr/>
          <w:p>
            <w:pPr>
              <w:pStyle w:val="Compact"/>
            </w:pPr>
            <w:r>
              <w:rPr>
                <w:rStyle w:val="VerbatimChar"/>
              </w:rPr>
              <w:t xml:space="preserve">New-FMPSecurityIssue</w:t>
            </w:r>
            <w:r>
              <w:t xml:space="preserve">,</w:t>
            </w:r>
            <w:r>
              <w:t xml:space="preserve"> </w:t>
            </w:r>
            <w:r>
              <w:rPr>
                <w:rStyle w:val="VerbatimChar"/>
              </w:rPr>
              <w:t xml:space="preserve">Invoke-FMPFindingIssues</w:t>
            </w:r>
          </w:p>
        </w:tc>
        <w:tc>
          <w:tcPr/>
          <w:p>
            <w:pPr>
              <w:pStyle w:val="Compact"/>
            </w:pPr>
            <w:r>
              <w:t xml:space="preserve">Raise issues for critical findings</w:t>
            </w:r>
          </w:p>
        </w:tc>
        <w:tc>
          <w:tcPr/>
          <w:p>
            <w:pPr>
              <w:pStyle w:val="Compact"/>
            </w:pPr>
            <w:r>
              <w:t xml:space="preserve">Issue URLs</w:t>
            </w:r>
          </w:p>
        </w:tc>
      </w:tr>
    </w:tbl>
    <w:bookmarkStart w:id="216" w:name="run-checklist"/>
    <w:p>
      <w:pPr>
        <w:pStyle w:val="Heading3"/>
      </w:pPr>
      <w:r>
        <w:t xml:space="preserve">Run checklist</w:t>
      </w:r>
    </w:p>
    <w:p>
      <w:pPr>
        <w:pStyle w:val="Compact"/>
        <w:numPr>
          <w:ilvl w:val="0"/>
          <w:numId w:val="1009"/>
        </w:numPr>
      </w:pPr>
      <w:r>
        <w:t xml:space="preserve">Run</w:t>
      </w:r>
      <w:r>
        <w:t xml:space="preserve"> </w:t>
      </w:r>
      <w:r>
        <w:rPr>
          <w:rStyle w:val="VerbatimChar"/>
        </w:rPr>
        <w:t xml:space="preserve">Test-FMPPrerequisites</w:t>
      </w:r>
      <w:r>
        <w:t xml:space="preserve"> </w:t>
      </w:r>
      <w:r>
        <w:t xml:space="preserve">and resolve every failure.</w:t>
      </w:r>
    </w:p>
    <w:p>
      <w:pPr>
        <w:pStyle w:val="Compact"/>
        <w:numPr>
          <w:ilvl w:val="0"/>
          <w:numId w:val="1009"/>
        </w:numPr>
      </w:pPr>
      <w:r>
        <w:t xml:space="preserve">Confirm the gMSA is installed on the host and holds only the delegated rights above.</w:t>
      </w:r>
    </w:p>
    <w:p>
      <w:pPr>
        <w:pStyle w:val="Compact"/>
        <w:numPr>
          <w:ilvl w:val="0"/>
          <w:numId w:val="1009"/>
        </w:numPr>
      </w:pPr>
      <w:r>
        <w:rPr>
          <w:rStyle w:val="VerbatimChar"/>
        </w:rPr>
        <w:t xml:space="preserve">Import-Module FMPADAssessment</w:t>
      </w:r>
      <w:r>
        <w:t xml:space="preserve">.</w:t>
      </w:r>
    </w:p>
    <w:p>
      <w:pPr>
        <w:pStyle w:val="Compact"/>
        <w:numPr>
          <w:ilvl w:val="0"/>
          <w:numId w:val="1009"/>
        </w:numPr>
      </w:pPr>
      <w:r>
        <w:rPr>
          <w:rStyle w:val="VerbatimChar"/>
        </w:rPr>
        <w:t xml:space="preserve">Invoke-FMPADAssessment -Domain &lt;domain&gt; -OutputPath D:\FMP\Assessment -StaleThresholdDays 90</w:t>
      </w:r>
      <w:r>
        <w:t xml:space="preserve">.</w:t>
      </w:r>
    </w:p>
    <w:p>
      <w:pPr>
        <w:pStyle w:val="Compact"/>
        <w:numPr>
          <w:ilvl w:val="0"/>
          <w:numId w:val="1009"/>
        </w:numPr>
      </w:pPr>
      <w:r>
        <w:t xml:space="preserve">Open</w:t>
      </w:r>
      <w:r>
        <w:t xml:space="preserve"> </w:t>
      </w:r>
      <w:r>
        <w:rPr>
          <w:rStyle w:val="VerbatimChar"/>
        </w:rPr>
        <w:t xml:space="preserve">AssessmentManifest.json</w:t>
      </w:r>
      <w:r>
        <w:t xml:space="preserve">; check the file count and spot-check hashes.</w:t>
      </w:r>
    </w:p>
    <w:p>
      <w:pPr>
        <w:pStyle w:val="Compact"/>
        <w:numPr>
          <w:ilvl w:val="0"/>
          <w:numId w:val="1009"/>
        </w:numPr>
      </w:pPr>
      <w:r>
        <w:t xml:space="preserve">Review</w:t>
      </w:r>
      <w:r>
        <w:t xml:space="preserve"> </w:t>
      </w:r>
      <w:r>
        <w:rPr>
          <w:rStyle w:val="VerbatimChar"/>
        </w:rPr>
        <w:t xml:space="preserve">PKISecurityReport.json</w:t>
      </w:r>
      <w:r>
        <w:t xml:space="preserve"> </w:t>
      </w:r>
      <w:r>
        <w:t xml:space="preserve">and</w:t>
      </w:r>
      <w:r>
        <w:t xml:space="preserve"> </w:t>
      </w:r>
      <w:r>
        <w:rPr>
          <w:rStyle w:val="VerbatimChar"/>
        </w:rPr>
        <w:t xml:space="preserve">DelegationReport.csv</w:t>
      </w:r>
      <w:r>
        <w:t xml:space="preserve">.</w:t>
      </w:r>
    </w:p>
    <w:p>
      <w:pPr>
        <w:pStyle w:val="Compact"/>
        <w:numPr>
          <w:ilvl w:val="0"/>
          <w:numId w:val="1009"/>
        </w:numPr>
      </w:pPr>
      <w:r>
        <w:t xml:space="preserve">Review</w:t>
      </w:r>
      <w:r>
        <w:t xml:space="preserve"> </w:t>
      </w:r>
      <w:r>
        <w:rPr>
          <w:rStyle w:val="VerbatimChar"/>
        </w:rPr>
        <w:t xml:space="preserve">StaleComputers.csv</w:t>
      </w:r>
      <w:r>
        <w:t xml:space="preserve"> </w:t>
      </w:r>
      <w:r>
        <w:t xml:space="preserve">and the stale and orphaned user counts.</w:t>
      </w:r>
    </w:p>
    <w:p>
      <w:pPr>
        <w:pStyle w:val="Compact"/>
        <w:numPr>
          <w:ilvl w:val="0"/>
          <w:numId w:val="1009"/>
        </w:numPr>
      </w:pPr>
      <w:r>
        <w:t xml:space="preserve">Run trust verification as a separate elevated step.</w:t>
      </w:r>
    </w:p>
    <w:p>
      <w:pPr>
        <w:pStyle w:val="Compact"/>
        <w:numPr>
          <w:ilvl w:val="0"/>
          <w:numId w:val="1009"/>
        </w:numPr>
      </w:pPr>
      <w:r>
        <w:t xml:space="preserve">Commit the run to its branch with</w:t>
      </w:r>
      <w:r>
        <w:t xml:space="preserve"> </w:t>
      </w:r>
      <w:r>
        <w:rPr>
          <w:rStyle w:val="VerbatimChar"/>
        </w:rPr>
        <w:t xml:space="preserve">Push-FMPAssessmentToGitea</w:t>
      </w:r>
      <w:r>
        <w:t xml:space="preserve">.</w:t>
      </w:r>
    </w:p>
    <w:p>
      <w:pPr>
        <w:pStyle w:val="Compact"/>
        <w:numPr>
          <w:ilvl w:val="0"/>
          <w:numId w:val="1009"/>
        </w:numPr>
      </w:pPr>
      <w:r>
        <w:t xml:space="preserve">Raise issues for critical findings with</w:t>
      </w:r>
      <w:r>
        <w:t xml:space="preserve"> </w:t>
      </w:r>
      <w:r>
        <w:rPr>
          <w:rStyle w:val="VerbatimChar"/>
        </w:rPr>
        <w:t xml:space="preserve">Invoke-FMPFindingIssues</w:t>
      </w:r>
      <w:r>
        <w:t xml:space="preserve">.</w:t>
      </w:r>
    </w:p>
    <w:p>
      <w:pPr>
        <w:pStyle w:val="Compact"/>
        <w:numPr>
          <w:ilvl w:val="0"/>
          <w:numId w:val="1009"/>
        </w:numPr>
      </w:pPr>
      <w:r>
        <w:t xml:space="preserve">On recurring runs, compare with the previous baseline using</w:t>
      </w:r>
      <w:r>
        <w:t xml:space="preserve"> </w:t>
      </w:r>
      <w:r>
        <w:rPr>
          <w:rStyle w:val="VerbatimChar"/>
        </w:rPr>
        <w:t xml:space="preserve">Compare-FMPAssessments</w:t>
      </w:r>
      <w:r>
        <w:t xml:space="preserve">.</w:t>
      </w:r>
    </w:p>
    <w:p>
      <w:pPr>
        <w:pStyle w:val="Compact"/>
        <w:numPr>
          <w:ilvl w:val="0"/>
          <w:numId w:val="1009"/>
        </w:numPr>
      </w:pPr>
      <w:r>
        <w:t xml:space="preserve">Archive runs past the retention period.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13" name="Picture"/>
                  <a:graphic>
                    <a:graphicData uri="http://schemas.openxmlformats.org/drawingml/2006/picture">
                      <pic:pic>
                        <pic:nvPicPr>
                          <pic:cNvPr descr="/opt/quarto/share/formats/docx/tip.png" id="214" name="Picture"/>
                          <pic:cNvPicPr>
                            <a:picLocks noChangeArrowheads="1" noChangeAspect="1"/>
                          </pic:cNvPicPr>
                        </pic:nvPicPr>
                        <pic:blipFill>
                          <a:blip r:embed="rId2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
              <w:r>
                <w:rPr>
                  <w:rStyle w:val="Hyperlink"/>
                </w:rPr>
                <w:t xml:space="preserve">← Previous: Chapter 07 — Read-Only Discovery</w:t>
              </w:r>
            </w:hyperlink>
            <w:r>
              <w:t xml:space="preserve"> </w:t>
            </w:r>
            <w:r>
              <w:t xml:space="preserve">·</w:t>
            </w:r>
            <w:r>
              <w:t xml:space="preserve"> </w:t>
            </w:r>
            <w:hyperlink r:id="rId215">
              <w:r>
                <w:rPr>
                  <w:rStyle w:val="Hyperlink"/>
                </w:rPr>
                <w:t xml:space="preserve">Book index</w:t>
              </w:r>
            </w:hyperlink>
            <w:r>
              <w:t xml:space="preserve"> </w:t>
            </w:r>
            <w:r>
              <w:t xml:space="preserve">·</w:t>
            </w:r>
            <w:r>
              <w:t xml:space="preserve"> </w:t>
            </w:r>
            <w:hyperlink r:id="rId14">
              <w:r>
                <w:rPr>
                  <w:rStyle w:val="Hyperlink"/>
                </w:rPr>
                <w:t xml:space="preserve">Next: Chapter 09 — Building the Entra ID Target →</w:t>
              </w:r>
            </w:hyperlink>
          </w:p>
          <w:p/>
        </w:tc>
      </w:tr>
    </w:tbl>
    <w:bookmarkEnd w:id="216"/>
    <w:bookmarkEnd w:id="217"/>
    <w:bookmarkEnd w:id="2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4">
    <w:p>
      <w:pPr>
        <w:pStyle w:val="FootnoteText"/>
      </w:pPr>
      <w:r>
        <w:rPr>
          <w:rStyle w:val="FootnoteReference"/>
        </w:rPr>
        <w:footnoteRef/>
      </w:r>
      <w:r>
        <w:t xml:space="preserve"> </w:t>
      </w:r>
      <w:r>
        <w:t xml:space="preserve">Microsoft Learn,</w:t>
      </w:r>
      <w:r>
        <w:t xml:space="preserve"> </w:t>
      </w:r>
      <w:r>
        <w:t xml:space="preserve">“Windows Server release information”</w:t>
      </w:r>
      <w:r>
        <w:t xml:space="preserve"> </w:t>
      </w:r>
      <w:r>
        <w:t xml:space="preserve">and</w:t>
      </w:r>
      <w:r>
        <w:t xml:space="preserve"> </w:t>
      </w:r>
      <w:r>
        <w:t xml:space="preserve">“Windows 11 release information,”</w:t>
      </w:r>
      <w:r>
        <w:t xml:space="preserve"> </w:t>
      </w:r>
      <w:hyperlink r:id="rId25">
        <w:r>
          <w:rPr>
            <w:rStyle w:val="Hyperlink"/>
          </w:rPr>
          <w:t xml:space="preserve">https://learn.microsoft.com/windows/release-health/windows-server-release-info</w:t>
        </w:r>
      </w:hyperlink>
      <w:r>
        <w:t xml:space="preserve"> </w:t>
      </w:r>
      <w:r>
        <w:t xml:space="preserve">and</w:t>
      </w:r>
      <w:r>
        <w:t xml:space="preserve"> </w:t>
      </w:r>
      <w:hyperlink r:id="rId26">
        <w:r>
          <w:rPr>
            <w:rStyle w:val="Hyperlink"/>
          </w:rPr>
          <w:t xml:space="preserve">https://learn.microsoft.com/windows/release-health/windows11-release-information</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“Install and manage Remote Server Administration Tools in Windows,”</w:t>
      </w:r>
      <w:r>
        <w:t xml:space="preserve"> </w:t>
      </w:r>
      <w:hyperlink r:id="rId28">
        <w:r>
          <w:rPr>
            <w:rStyle w:val="Hyperlink"/>
          </w:rPr>
          <w:t xml:space="preserve">https://learn.microsoft.com/windows-server/administration/install-remote-server-administration-tools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“Available Features on Demand,”</w:t>
      </w:r>
      <w:r>
        <w:t xml:space="preserve"> </w:t>
      </w:r>
      <w:r>
        <w:t xml:space="preserve">section</w:t>
      </w:r>
      <w:r>
        <w:t xml:space="preserve"> </w:t>
      </w:r>
      <w:r>
        <w:t xml:space="preserve">“Remote server administration tools (RSAT),”</w:t>
      </w:r>
      <w:r>
        <w:t xml:space="preserve"> </w:t>
      </w:r>
      <w:hyperlink r:id="rId30">
        <w:r>
          <w:rPr>
            <w:rStyle w:val="Hyperlink"/>
          </w:rPr>
          <w:t xml:space="preserve">https://learn.microsoft.com/windows-hardware/manufacture/desktop/features-on-demand-non-language-fod</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“Install and manage Remote Server Administration Tools in Windows,”</w:t>
      </w:r>
      <w:r>
        <w:t xml:space="preserve"> </w:t>
      </w:r>
      <w:hyperlink r:id="rId28">
        <w:r>
          <w:rPr>
            <w:rStyle w:val="Hyperlink"/>
          </w:rPr>
          <w:t xml:space="preserve">https://learn.microsoft.com/windows-server/administration/install-remote-server-administration-tools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“Making the second hop in PowerShell Remoting,”</w:t>
      </w:r>
      <w:r>
        <w:t xml:space="preserve"> </w:t>
      </w:r>
      <w:hyperlink r:id="rId33">
        <w:r>
          <w:rPr>
            <w:rStyle w:val="Hyperlink"/>
          </w:rPr>
          <w:t xml:space="preserve">https://learn.microsoft.com/powershell/scripting/security/remoting/ps-remoting-second-hop</w:t>
        </w:r>
      </w:hyperlink>
      <w:r>
        <w:t xml:space="preserve"> </w:t>
      </w:r>
      <w:r>
        <w:t xml:space="preserve">(accessed Oct 20, 2026).</w:t>
      </w:r>
    </w:p>
  </w:footnote>
  <w:footnote w:id="34">
    <w:p>
      <w:pPr>
        <w:pStyle w:val="FootnoteText"/>
      </w:pPr>
      <w:r>
        <w:rPr>
          <w:rStyle w:val="FootnoteReference"/>
        </w:rPr>
        <w:footnoteRef/>
      </w:r>
      <w:r>
        <w:t xml:space="preserve"> </w:t>
      </w:r>
      <w:r>
        <w:t xml:space="preserve">PKI Solutions,</w:t>
      </w:r>
      <w:r>
        <w:t xml:space="preserve"> </w:t>
      </w:r>
      <w:r>
        <w:t xml:space="preserve">“PowerShell PKI (PSPKI) Module,”</w:t>
      </w:r>
      <w:r>
        <w:t xml:space="preserve"> </w:t>
      </w:r>
      <w:hyperlink r:id="rId35">
        <w:r>
          <w:rPr>
            <w:rStyle w:val="Hyperlink"/>
          </w:rPr>
          <w:t xml:space="preserve">https://www.pkisolutions.com/tools/pspki/</w:t>
        </w:r>
      </w:hyperlink>
      <w:r>
        <w:t xml:space="preserve"> </w:t>
      </w:r>
      <w:r>
        <w:t xml:space="preserve">(accessed Oct 20, 2026).</w:t>
      </w:r>
    </w:p>
  </w:footnote>
  <w:footnote w:id="36">
    <w:p>
      <w:pPr>
        <w:pStyle w:val="FootnoteText"/>
      </w:pPr>
      <w:r>
        <w:rPr>
          <w:rStyle w:val="FootnoteReference"/>
        </w:rPr>
        <w:footnoteRef/>
      </w:r>
      <w:r>
        <w:t xml:space="preserve"> </w:t>
      </w:r>
      <w:r>
        <w:t xml:space="preserve">PowerShell Gallery,</w:t>
      </w:r>
      <w:r>
        <w:t xml:space="preserve"> </w:t>
      </w:r>
      <w:r>
        <w:t xml:space="preserve">“PSPKI 4.4.1,”</w:t>
      </w:r>
      <w:r>
        <w:t xml:space="preserve"> </w:t>
      </w:r>
      <w:hyperlink r:id="rId37">
        <w:r>
          <w:rPr>
            <w:rStyle w:val="Hyperlink"/>
          </w:rPr>
          <w:t xml:space="preserve">https://www.powershellgallery.com/packages/PSPKI</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hyperlink r:id="rId40">
        <w:r>
          <w:rPr>
            <w:rStyle w:val="Hyperlink"/>
          </w:rPr>
          <w:t xml:space="preserve">https://learn.microsoft.com/defender-for-identity/unsafe-permissions-dns-admins-group</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“netdom trust”</w:t>
      </w:r>
      <w:r>
        <w:t xml:space="preserve"> </w:t>
      </w:r>
      <w:r>
        <w:t xml:space="preserve">and</w:t>
      </w:r>
      <w:r>
        <w:t xml:space="preserve"> </w:t>
      </w:r>
      <w:r>
        <w:t xml:space="preserve">“netdom query,”</w:t>
      </w:r>
      <w:r>
        <w:t xml:space="preserve"> </w:t>
      </w:r>
      <w:hyperlink r:id="rId42">
        <w:r>
          <w:rPr>
            <w:rStyle w:val="Hyperlink"/>
          </w:rPr>
          <w:t xml:space="preserve">https://learn.microsoft.com/windows-server/administration/windows-commands/netdom-trust</w:t>
        </w:r>
      </w:hyperlink>
      <w:r>
        <w:t xml:space="preserve"> </w:t>
      </w:r>
      <w:r>
        <w:t xml:space="preserve">and</w:t>
      </w:r>
      <w:r>
        <w:t xml:space="preserve"> </w:t>
      </w:r>
      <w:hyperlink r:id="rId43">
        <w:r>
          <w:rPr>
            <w:rStyle w:val="Hyperlink"/>
          </w:rPr>
          <w:t xml:space="preserve">https://learn.microsoft.com/windows-server/administration/windows-commands/netdom-query</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“Flexible Single Master Operations roles in Active Directory Domain Services,”</w:t>
      </w:r>
      <w:r>
        <w:t xml:space="preserve"> </w:t>
      </w:r>
      <w:hyperlink r:id="rId48">
        <w:r>
          <w:rPr>
            <w:rStyle w:val="Hyperlink"/>
          </w:rPr>
          <w:t xml:space="preserve">https://learn.microsoft.com/windows-server/identity/ad-ds/manage/understand-fsmo-roles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“Flexible Single Master Operations roles in Active Directory Domain Services,”</w:t>
      </w:r>
      <w:r>
        <w:t xml:space="preserve"> </w:t>
      </w:r>
      <w:hyperlink r:id="rId48">
        <w:r>
          <w:rPr>
            <w:rStyle w:val="Hyperlink"/>
          </w:rPr>
          <w:t xml:space="preserve">https://learn.microsoft.com/windows-server/identity/ad-ds/manage/understand-fsmo-roles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“Transfer Flexible Single Master Operations roles,”</w:t>
      </w:r>
      <w:r>
        <w:t xml:space="preserve"> </w:t>
      </w:r>
      <w:r>
        <w:t xml:space="preserve">section</w:t>
      </w:r>
      <w:r>
        <w:t xml:space="preserve"> </w:t>
      </w:r>
      <w:r>
        <w:t xml:space="preserve">“Find the current role holders,”</w:t>
      </w:r>
      <w:r>
        <w:t xml:space="preserve"> </w:t>
      </w:r>
      <w:hyperlink r:id="rId51">
        <w:r>
          <w:rPr>
            <w:rStyle w:val="Hyperlink"/>
          </w:rPr>
          <w:t xml:space="preserve">https://learn.microsoft.com/windows-server/identity/ad-ds/manage/manage-fsmo-roles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“Set-ADForestMode,”</w:t>
      </w:r>
      <w:r>
        <w:t xml:space="preserve"> </w:t>
      </w:r>
      <w:r>
        <w:t xml:space="preserve">parameter</w:t>
      </w:r>
      <w:r>
        <w:t xml:space="preserve"> </w:t>
      </w:r>
      <w:r>
        <w:rPr>
          <w:rStyle w:val="VerbatimChar"/>
        </w:rPr>
        <w:t xml:space="preserve">-ForestMode</w:t>
      </w:r>
      <w:r>
        <w:t xml:space="preserve">,</w:t>
      </w:r>
      <w:r>
        <w:t xml:space="preserve"> </w:t>
      </w:r>
      <w:hyperlink r:id="rId54">
        <w:r>
          <w:rPr>
            <w:rStyle w:val="Hyperlink"/>
          </w:rPr>
          <w:t xml:space="preserve">https://learn.microsoft.com/powershell/module/activedirectory/set-adforestmode?view=windowsserver2025-ps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“What’s new in Windows Server 2025,”</w:t>
      </w:r>
      <w:r>
        <w:t xml:space="preserve"> </w:t>
      </w:r>
      <w:r>
        <w:t xml:space="preserve">section</w:t>
      </w:r>
      <w:r>
        <w:t xml:space="preserve"> </w:t>
      </w:r>
      <w:r>
        <w:t xml:space="preserve">“Forest and domain functional levels,”</w:t>
      </w:r>
      <w:r>
        <w:t xml:space="preserve"> </w:t>
      </w:r>
      <w:hyperlink r:id="rId56">
        <w:r>
          <w:rPr>
            <w:rStyle w:val="Hyperlink"/>
          </w:rPr>
          <w:t xml:space="preserve">https://learn.microsoft.com/windows-server/get-started/whats-new-windows-server-2025</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“Active Directory Domain Services functional levels,”</w:t>
      </w:r>
      <w:r>
        <w:t xml:space="preserve"> </w:t>
      </w:r>
      <w:hyperlink r:id="rId58">
        <w:r>
          <w:rPr>
            <w:rStyle w:val="Hyperlink"/>
          </w:rPr>
          <w:t xml:space="preserve">https://learn.microsoft.com/windows-server/identity/ad-ds/active-directory-functional-levels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“Identifying your functional level upgrade,”</w:t>
      </w:r>
      <w:r>
        <w:t xml:space="preserve"> </w:t>
      </w:r>
      <w:hyperlink r:id="rId60">
        <w:r>
          <w:rPr>
            <w:rStyle w:val="Hyperlink"/>
          </w:rPr>
          <w:t xml:space="preserve">https://learn.microsoft.com/windows-server/identity/ad-ds/plan/identifying-your-functional-level-upgrade</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“Raise domain and forest functional levels in Active Directory Domain Services,”</w:t>
      </w:r>
      <w:r>
        <w:t xml:space="preserve"> </w:t>
      </w:r>
      <w:hyperlink r:id="rId62">
        <w:r>
          <w:rPr>
            <w:rStyle w:val="Hyperlink"/>
          </w:rPr>
          <w:t xml:space="preserve">https://learn.microsoft.com/windows-server/identity/ad-ds/plan/raise-domain-forest-functional-levels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“ActiveDirectory Module,”</w:t>
      </w:r>
      <w:r>
        <w:t xml:space="preserve"> </w:t>
      </w:r>
      <w:r>
        <w:t xml:space="preserve">cmdlet index,</w:t>
      </w:r>
      <w:r>
        <w:t xml:space="preserve"> </w:t>
      </w:r>
      <w:hyperlink r:id="rId65">
        <w:r>
          <w:rPr>
            <w:rStyle w:val="Hyperlink"/>
          </w:rPr>
          <w:t xml:space="preserve">https://learn.microsoft.com/powershell/module/activedirectory/?view=windowsserver2025-ps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“Get-GPInheritance,”</w:t>
      </w:r>
      <w:r>
        <w:t xml:space="preserve"> </w:t>
      </w:r>
      <w:hyperlink r:id="rId70">
        <w:r>
          <w:rPr>
            <w:rStyle w:val="Hyperlink"/>
          </w:rPr>
          <w:t xml:space="preserve">https://learn.microsoft.com/powershell/module/grouppolicy/get-gpinheritance?view=windowsserver2025-ps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“Group Policy scope,”</w:t>
      </w:r>
      <w:r>
        <w:t xml:space="preserve"> </w:t>
      </w:r>
      <w:r>
        <w:t xml:space="preserve">section</w:t>
      </w:r>
      <w:r>
        <w:t xml:space="preserve"> </w:t>
      </w:r>
      <w:r>
        <w:t xml:space="preserve">“GPO scope types,”</w:t>
      </w:r>
      <w:r>
        <w:t xml:space="preserve"> </w:t>
      </w:r>
      <w:hyperlink r:id="rId72">
        <w:r>
          <w:rPr>
            <w:rStyle w:val="Hyperlink"/>
          </w:rPr>
          <w:t xml:space="preserve">https://learn.microsoft.com/windows-server/identity/ad-ds/manage/group-policy/group-policy-scope</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r>
        <w:t xml:space="preserve">sections</w:t>
      </w:r>
      <w:r>
        <w:t xml:space="preserve"> </w:t>
      </w:r>
      <w:r>
        <w:t xml:space="preserve">“Enforced GPOs”</w:t>
      </w:r>
      <w:r>
        <w:t xml:space="preserve"> </w:t>
      </w:r>
      <w:r>
        <w:t xml:space="preserve">and</w:t>
      </w:r>
      <w:r>
        <w:t xml:space="preserve"> </w:t>
      </w:r>
      <w:r>
        <w:t xml:space="preserve">“Block Inheritance,”</w:t>
      </w:r>
      <w:r>
        <w:t xml:space="preserve"> </w:t>
      </w:r>
      <w:hyperlink r:id="rId74">
        <w:r>
          <w:rPr>
            <w:rStyle w:val="Hyperlink"/>
          </w:rPr>
          <w:t xml:space="preserve">https://learn.microsoft.com/windows-server/identity/ad-ds/manage/group-policy/group-policy-processing</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“GroupPolicy Module,”</w:t>
      </w:r>
      <w:r>
        <w:t xml:space="preserve"> </w:t>
      </w:r>
      <w:hyperlink r:id="rId81">
        <w:r>
          <w:rPr>
            <w:rStyle w:val="Hyperlink"/>
          </w:rPr>
          <w:t xml:space="preserve">https://learn.microsoft.com/powershell/module/grouppolicy/?view=windowsserver2025-ps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“Get-GPOReport,”</w:t>
      </w:r>
      <w:r>
        <w:t xml:space="preserve"> </w:t>
      </w:r>
      <w:hyperlink r:id="rId83">
        <w:r>
          <w:rPr>
            <w:rStyle w:val="Hyperlink"/>
          </w:rPr>
          <w:t xml:space="preserve">https://learn.microsoft.com/powershell/module/grouppolicy/get-gporeport?view=windowsserver2025-ps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“Get-GPPermission,”</w:t>
      </w:r>
      <w:r>
        <w:t xml:space="preserve"> </w:t>
      </w:r>
      <w:hyperlink r:id="rId85">
        <w:r>
          <w:rPr>
            <w:rStyle w:val="Hyperlink"/>
          </w:rPr>
          <w:t xml:space="preserve">https://learn.microsoft.com/powershell/module/grouppolicy/get-gppermission?view=windowsserver2025-ps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“Conflicting settings are detected early,”</w:t>
      </w:r>
      <w:r>
        <w:t xml:space="preserve"> </w:t>
      </w:r>
      <w:hyperlink r:id="rId88">
        <w:r>
          <w:rPr>
            <w:rStyle w:val="Hyperlink"/>
          </w:rPr>
          <w:t xml:space="preserve">https://learn.microsoft.com/intune/device-configuration/migrate-group-policy</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“Use Microsoft Intune to import and analyze group policies,”</w:t>
      </w:r>
      <w:r>
        <w:t xml:space="preserve"> </w:t>
      </w:r>
      <w:hyperlink r:id="rId90">
        <w:r>
          <w:rPr>
            <w:rStyle w:val="Hyperlink"/>
          </w:rPr>
          <w:t xml:space="preserve">https://learn.microsoft.com/intune/device-configuration/import-group-policy-analytics</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“Get-DnsServerDnsSecZoneSetting,”</w:t>
      </w:r>
      <w:r>
        <w:t xml:space="preserve"> </w:t>
      </w:r>
      <w:hyperlink r:id="rId95">
        <w:r>
          <w:rPr>
            <w:rStyle w:val="Hyperlink"/>
          </w:rPr>
          <w:t xml:space="preserve">https://learn.microsoft.com/powershell/module/dnsserver/get-dnsserverdnsseczonesetting?view=windowsserver2025-ps</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97">
        <w:r>
          <w:rPr>
            <w:rStyle w:val="Hyperlink"/>
          </w:rPr>
          <w:t xml:space="preserve">https://learn.microsoft.com/windows-server/networking/dns/configure-aging-scavenging</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97">
        <w:r>
          <w:rPr>
            <w:rStyle w:val="Hyperlink"/>
          </w:rPr>
          <w:t xml:space="preserve">https://learn.microsoft.com/windows-server/networking/dns/configure-aging-scavenging</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section</w:t>
      </w:r>
      <w:r>
        <w:t xml:space="preserve"> </w:t>
      </w:r>
      <w:r>
        <w:t xml:space="preserve">“Understand Public Key Services data,”</w:t>
      </w:r>
      <w:r>
        <w:t xml:space="preserve"> </w:t>
      </w:r>
      <w:hyperlink r:id="rId102">
        <w:r>
          <w:rPr>
            <w:rStyle w:val="Hyperlink"/>
          </w:rPr>
          <w:t xml:space="preserve">https://learn.microsoft.com/windows-server/identity/ad-cs/monitor-ad-cs-health-enterprise-pki</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“certutil,”</w:t>
      </w:r>
      <w:r>
        <w:t xml:space="preserve"> </w:t>
      </w:r>
      <w:hyperlink r:id="rId104">
        <w:r>
          <w:rPr>
            <w:rStyle w:val="Hyperlink"/>
          </w:rPr>
          <w:t xml:space="preserve">https://learn.microsoft.com/windows-server/administration/windows-commands/certutil</w:t>
        </w:r>
      </w:hyperlink>
      <w:r>
        <w:t xml:space="preserve"> </w:t>
      </w:r>
      <w:r>
        <w:t xml:space="preserve">(accessed Oct 20, 2026).</w:t>
      </w:r>
    </w:p>
  </w:footnote>
  <w:footnote w:id="105">
    <w:p>
      <w:pPr>
        <w:pStyle w:val="FootnoteText"/>
      </w:pPr>
      <w:r>
        <w:rPr>
          <w:rStyle w:val="FootnoteReference"/>
        </w:rPr>
        <w:footnoteRef/>
      </w:r>
      <w:r>
        <w:t xml:space="preserve"> </w:t>
      </w:r>
      <w:r>
        <w:t xml:space="preserve">PowerShell Gallery,</w:t>
      </w:r>
      <w:r>
        <w:t xml:space="preserve"> </w:t>
      </w:r>
      <w:r>
        <w:t xml:space="preserve">“PSPKI 4.4.1,”</w:t>
      </w:r>
      <w:r>
        <w:t xml:space="preserve"> </w:t>
      </w:r>
      <w:hyperlink r:id="rId37">
        <w:r>
          <w:rPr>
            <w:rStyle w:val="Hyperlink"/>
          </w:rPr>
          <w:t xml:space="preserve">https://www.powershellgallery.com/packages/PSPKI</w:t>
        </w:r>
      </w:hyperlink>
      <w:r>
        <w:t xml:space="preserve"> </w:t>
      </w:r>
      <w:r>
        <w:t xml:space="preserve">(accessed Oct 20, 2026).</w:t>
      </w:r>
    </w:p>
  </w:footnote>
  <w:footnote w:id="107">
    <w:p>
      <w:pPr>
        <w:pStyle w:val="FootnoteText"/>
      </w:pPr>
      <w:r>
        <w:rPr>
          <w:rStyle w:val="FootnoteReference"/>
        </w:rPr>
        <w:footnoteRef/>
      </w:r>
      <w:r>
        <w:t xml:space="preserve"> </w:t>
      </w:r>
      <w:r>
        <w:t xml:space="preserve">SpecterOps,</w:t>
      </w:r>
      <w:r>
        <w:t xml:space="preserve"> </w:t>
      </w:r>
      <w:r>
        <w:t xml:space="preserve">“Certify: command overview,”</w:t>
      </w:r>
      <w:r>
        <w:t xml:space="preserve"> </w:t>
      </w:r>
      <w:hyperlink r:id="rId108">
        <w:r>
          <w:rPr>
            <w:rStyle w:val="Hyperlink"/>
          </w:rPr>
          <w:t xml:space="preserve">https://docs.specterops.io/ghostpack-docs/Certify.wik-mdx/overview</w:t>
        </w:r>
      </w:hyperlink>
      <w:r>
        <w:t xml:space="preserve"> </w:t>
      </w:r>
      <w:r>
        <w:t xml:space="preserve">(accessed Oct 20, 2026). The underlying research is Will Schroeder and Lee Christensen,</w:t>
      </w:r>
      <w:r>
        <w:t xml:space="preserve"> </w:t>
      </w:r>
      <w:r>
        <w:rPr>
          <w:i/>
          <w:iCs/>
        </w:rPr>
        <w:t xml:space="preserve">Certified Pre-Owned: Abusing Active Directory Certificate Services</w:t>
      </w:r>
      <w:r>
        <w:t xml:space="preserve">, SpecterOps, June 2021.</w:t>
      </w:r>
    </w:p>
  </w:footnote>
  <w:footnote w:id="10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10">
        <w:r>
          <w:rPr>
            <w:rStyle w:val="Hyperlink"/>
          </w:rPr>
          <w:t xml:space="preserve">https://learn.microsoft.com/defender-for-identity/security-posture-assessments/certificates</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10">
        <w:r>
          <w:rPr>
            <w:rStyle w:val="Hyperlink"/>
          </w:rPr>
          <w:t xml:space="preserve">https://learn.microsoft.com/defender-for-identity/security-posture-assessments/certificates</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10">
        <w:r>
          <w:rPr>
            <w:rStyle w:val="Hyperlink"/>
          </w:rPr>
          <w:t xml:space="preserve">https://learn.microsoft.com/defender-for-identity/security-posture-assessments/certificates</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10">
        <w:r>
          <w:rPr>
            <w:rStyle w:val="Hyperlink"/>
          </w:rPr>
          <w:t xml:space="preserve">https://learn.microsoft.com/defender-for-identity/security-posture-assessments/certificates</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“X509CertificateTemplateSubjectNameFlag enumeration (certenroll.h),”</w:t>
      </w:r>
      <w:r>
        <w:t xml:space="preserve"> </w:t>
      </w:r>
      <w:hyperlink r:id="rId115">
        <w:r>
          <w:rPr>
            <w:rStyle w:val="Hyperlink"/>
          </w:rPr>
          <w:t xml:space="preserve">https://learn.microsoft.com/windows/win32/api/certenroll/ne-certenroll-x509certificatetemplatesubjectnameflag</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“X509CertificateTemplateEnrollmentFlag enumeration (certenroll.h),”</w:t>
      </w:r>
      <w:r>
        <w:t xml:space="preserve"> </w:t>
      </w:r>
      <w:hyperlink r:id="rId117">
        <w:r>
          <w:rPr>
            <w:rStyle w:val="Hyperlink"/>
          </w:rPr>
          <w:t xml:space="preserve">https://learn.microsoft.com/windows/win32/api/certenroll/ne-certenroll-x509certificatetemplateenrollmentflag</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11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120">
    <w:p>
      <w:pPr>
        <w:pStyle w:val="FootnoteText"/>
      </w:pPr>
      <w:r>
        <w:rPr>
          <w:rStyle w:val="FootnoteReference"/>
        </w:rPr>
        <w:footnoteRef/>
      </w:r>
      <w:r>
        <w:t xml:space="preserve"> </w:t>
      </w:r>
      <w:r>
        <w:t xml:space="preserve">Internet Engineering Task Force, RFC 4556,</w:t>
      </w:r>
      <w:r>
        <w:t xml:space="preserve"> </w:t>
      </w:r>
      <w:r>
        <w:rPr>
          <w:i/>
          <w:iCs/>
        </w:rPr>
        <w:t xml:space="preserve">Public Key Cryptography for Initial Authentication in Kerberos (PKINIT)</w:t>
      </w:r>
      <w:r>
        <w:t xml:space="preserve">, June 2006,</w:t>
      </w:r>
      <w:r>
        <w:t xml:space="preserve"> </w:t>
      </w:r>
      <w:hyperlink r:id="rId121">
        <w:r>
          <w:rPr>
            <w:rStyle w:val="Hyperlink"/>
          </w:rPr>
          <w:t xml:space="preserve">https://www.rfc-editor.org/rfc/rfc4556</w:t>
        </w:r>
      </w:hyperlink>
      <w:r>
        <w:t xml:space="preserve"> </w:t>
      </w:r>
      <w:r>
        <w:t xml:space="preserve">(accessed Oct 20, 2026).</w:t>
      </w:r>
    </w:p>
  </w:footnote>
  <w:footnote w:id="122">
    <w:p>
      <w:pPr>
        <w:pStyle w:val="FootnoteText"/>
      </w:pPr>
      <w:r>
        <w:rPr>
          <w:rStyle w:val="FootnoteReference"/>
        </w:rPr>
        <w:footnoteRef/>
      </w:r>
      <w:r>
        <w:t xml:space="preserve"> </w:t>
      </w:r>
      <w:r>
        <w:t xml:space="preserve">Internet Engineering Task Force, RFC 5280,</w:t>
      </w:r>
      <w:r>
        <w:t xml:space="preserve"> </w:t>
      </w:r>
      <w:r>
        <w:rPr>
          <w:i/>
          <w:iCs/>
        </w:rPr>
        <w:t xml:space="preserve">Internet X.509 Public Key Infrastructure Certificate and Certificate Revocation List (CRL) Profile</w:t>
      </w:r>
      <w:r>
        <w:t xml:space="preserve">, section 4.2.1.12, May 2008,</w:t>
      </w:r>
      <w:r>
        <w:t xml:space="preserve"> </w:t>
      </w:r>
      <w:hyperlink r:id="rId123">
        <w:r>
          <w:rPr>
            <w:rStyle w:val="Hyperlink"/>
          </w:rPr>
          <w:t xml:space="preserve">https://www.rfc-editor.org/rfc/rfc5280</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hyperlink r:id="rId126">
        <w:r>
          <w:rPr>
            <w:rStyle w:val="Hyperlink"/>
          </w:rPr>
          <w:t xml:space="preserve">https://learn.microsoft.com/entra/identity/authentication/concept-certificate-based-authentication</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“Last-Logon-Timestamp attribute,”</w:t>
      </w:r>
      <w:r>
        <w:t xml:space="preserve"> </w:t>
      </w:r>
      <w:hyperlink r:id="rId130">
        <w:r>
          <w:rPr>
            <w:rStyle w:val="Hyperlink"/>
          </w:rPr>
          <w:t xml:space="preserve">https://learn.microsoft.com/windows/win32/adschema/a-lastlogontimestamp</w:t>
        </w:r>
      </w:hyperlink>
      <w:r>
        <w:t xml:space="preserve">, and</w:t>
      </w:r>
      <w:r>
        <w:t xml:space="preserve"> </w:t>
      </w:r>
      <w:r>
        <w:t xml:space="preserve">“The lastLogonTimestamp attribute in System Center 2012 Configuration Manager may not be accurate,”</w:t>
      </w:r>
      <w:r>
        <w:t xml:space="preserve"> </w:t>
      </w:r>
      <w:hyperlink r:id="rId131">
        <w:r>
          <w:rPr>
            <w:rStyle w:val="Hyperlink"/>
          </w:rPr>
          <w:t xml:space="preserve">https://learn.microsoft.com/troubleshoot/mem/configmgr/discovery/lastlogontimestamp-not-accurate</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“Accounts security posture assessments,”</w:t>
      </w:r>
      <w:r>
        <w:t xml:space="preserve"> </w:t>
      </w:r>
      <w:r>
        <w:t xml:space="preserve">Microsoft Defender for Identity,</w:t>
      </w:r>
      <w:r>
        <w:t xml:space="preserve"> </w:t>
      </w:r>
      <w:hyperlink r:id="rId133">
        <w:r>
          <w:rPr>
            <w:rStyle w:val="Hyperlink"/>
          </w:rPr>
          <w:t xml:space="preserve">https://learn.microsoft.com/defender-for-identity/security-posture-assessments/accounts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“Kerberos Constrained Delegation Overview,”</w:t>
      </w:r>
      <w:r>
        <w:t xml:space="preserve"> </w:t>
      </w:r>
      <w:r>
        <w:t xml:space="preserve">section</w:t>
      </w:r>
      <w:r>
        <w:t xml:space="preserve"> </w:t>
      </w:r>
      <w:r>
        <w:t xml:space="preserve">“Resource-based constrained delegation across domains,”</w:t>
      </w:r>
      <w:r>
        <w:t xml:space="preserve"> </w:t>
      </w:r>
      <w:hyperlink r:id="rId136">
        <w:r>
          <w:rPr>
            <w:rStyle w:val="Hyperlink"/>
          </w:rPr>
          <w:t xml:space="preserve">https://learn.microsoft.com/windows-server/security/kerberos/kerberos-constrained-delegation-overview</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“Making the second hop in PowerShell Remoting,”</w:t>
      </w:r>
      <w:r>
        <w:t xml:space="preserve"> </w:t>
      </w:r>
      <w:hyperlink r:id="rId33">
        <w:r>
          <w:rPr>
            <w:rStyle w:val="Hyperlink"/>
          </w:rPr>
          <w:t xml:space="preserve">https://learn.microsoft.com/powershell/scripting/security/remoting/ps-remoting-second-hop</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“Making the second hop in PowerShell Remoting,”</w:t>
      </w:r>
      <w:r>
        <w:t xml:space="preserve"> </w:t>
      </w:r>
      <w:hyperlink r:id="rId33">
        <w:r>
          <w:rPr>
            <w:rStyle w:val="Hyperlink"/>
          </w:rPr>
          <w:t xml:space="preserve">https://learn.microsoft.com/powershell/scripting/security/remoting/ps-remoting-second-hop</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“Accounts security posture assessments,”</w:t>
      </w:r>
      <w:r>
        <w:t xml:space="preserve"> </w:t>
      </w:r>
      <w:r>
        <w:t xml:space="preserve">Microsoft Defender for Identity,</w:t>
      </w:r>
      <w:r>
        <w:t xml:space="preserve"> </w:t>
      </w:r>
      <w:hyperlink r:id="rId133">
        <w:r>
          <w:rPr>
            <w:rStyle w:val="Hyperlink"/>
          </w:rPr>
          <w:t xml:space="preserve">https://learn.microsoft.com/defender-for-identity/security-posture-assessments/accounts</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“Privileged access security levels,”</w:t>
      </w:r>
      <w:r>
        <w:t xml:space="preserve"> </w:t>
      </w:r>
      <w:hyperlink r:id="rId143">
        <w:r>
          <w:rPr>
            <w:rStyle w:val="Hyperlink"/>
          </w:rPr>
          <w:t xml:space="preserve">https://learn.microsoft.com/security/privileged-access-workstations/privileged-access-security-levels</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145">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r>
        <w:t xml:space="preserve">section</w:t>
      </w:r>
      <w:r>
        <w:t xml:space="preserve"> </w:t>
      </w:r>
      <w:r>
        <w:t xml:space="preserve">“Privileged Accounts and Groups in Active Directory,”</w:t>
      </w:r>
      <w:r>
        <w:t xml:space="preserve"> </w:t>
      </w:r>
      <w:hyperlink r:id="rId147">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149">
    <w:p>
      <w:pPr>
        <w:pStyle w:val="FootnoteText"/>
      </w:pPr>
      <w:r>
        <w:rPr>
          <w:rStyle w:val="FootnoteReference"/>
        </w:rPr>
        <w:footnoteRef/>
      </w:r>
      <w:r>
        <w:t xml:space="preserve"> </w:t>
      </w:r>
      <w:r>
        <w:t xml:space="preserve">Microsoft Learn,</w:t>
      </w:r>
      <w:r>
        <w:t xml:space="preserve"> </w:t>
      </w:r>
      <w:r>
        <w:t xml:space="preserve">“Delegated Managed Service Accounts overview,”</w:t>
      </w:r>
      <w:r>
        <w:t xml:space="preserve"> </w:t>
      </w:r>
      <w:hyperlink r:id="rId150">
        <w:r>
          <w:rPr>
            <w:rStyle w:val="Hyperlink"/>
          </w:rPr>
          <w:t xml:space="preserve">https://learn.microsoft.com/windows-server/identity/ad-ds/manage/delegated-managed-service-accounts/delegated-managed-service-accounts-overview</w:t>
        </w:r>
      </w:hyperlink>
      <w:r>
        <w:t xml:space="preserve"> </w:t>
      </w:r>
      <w:r>
        <w:t xml:space="preserve">(accessed Oct 20, 2026).</w:t>
      </w:r>
    </w:p>
  </w:footnote>
  <w:footnote w:id="151">
    <w:p>
      <w:pPr>
        <w:pStyle w:val="FootnoteText"/>
      </w:pPr>
      <w:r>
        <w:rPr>
          <w:rStyle w:val="FootnoteReference"/>
        </w:rPr>
        <w:footnoteRef/>
      </w:r>
      <w:r>
        <w:t xml:space="preserve"> </w:t>
      </w:r>
      <w:r>
        <w:t xml:space="preserve">Microsoft Learn,</w:t>
      </w:r>
      <w:r>
        <w:t xml:space="preserve"> </w:t>
      </w:r>
      <w:r>
        <w:t xml:space="preserve">“Manage group Managed Service Accounts,”</w:t>
      </w:r>
      <w:r>
        <w:t xml:space="preserve"> </w:t>
      </w:r>
      <w:hyperlink r:id="rId152">
        <w:r>
          <w:rPr>
            <w:rStyle w:val="Hyperlink"/>
          </w:rPr>
          <w:t xml:space="preserve">https://learn.microsoft.com/windows-server/identity/ad-ds/manage/group-managed-service-accounts/group-managed-service-accounts/manage-group-managed-service-accounts</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“Windows Server 2008 and newer domain controller returns only 5000 values in an LDAP response,”</w:t>
      </w:r>
      <w:r>
        <w:t xml:space="preserve"> </w:t>
      </w:r>
      <w:hyperlink r:id="rId155">
        <w:r>
          <w:rPr>
            <w:rStyle w:val="Hyperlink"/>
          </w:rPr>
          <w:t xml:space="preserve">https://learn.microsoft.com/troubleshoot/windows-server/active-directory/domain-controller-returns-500-values-ldap-response</w:t>
        </w:r>
      </w:hyperlink>
      <w:r>
        <w:t xml:space="preserve"> </w:t>
      </w:r>
      <w:r>
        <w:t xml:space="preserve">(accessed Oct 20, 2026).</w:t>
      </w:r>
    </w:p>
  </w:footnote>
  <w:footnote w:id="156">
    <w:p>
      <w:pPr>
        <w:pStyle w:val="FootnoteText"/>
      </w:pPr>
      <w:r>
        <w:rPr>
          <w:rStyle w:val="FootnoteReference"/>
        </w:rPr>
        <w:footnoteRef/>
      </w:r>
      <w:r>
        <w:t xml:space="preserve"> </w:t>
      </w:r>
      <w:r>
        <w:t xml:space="preserve">Microsoft Learn,</w:t>
      </w:r>
      <w:r>
        <w:t xml:space="preserve"> </w:t>
      </w:r>
      <w:r>
        <w:t xml:space="preserve">“Active Directory Domain Services maximum limits and scalability,”</w:t>
      </w:r>
      <w:r>
        <w:t xml:space="preserve"> </w:t>
      </w:r>
      <w:r>
        <w:t xml:space="preserve">section</w:t>
      </w:r>
      <w:r>
        <w:t xml:space="preserve"> </w:t>
      </w:r>
      <w:r>
        <w:t xml:space="preserve">“Group Memberships for security principals,”</w:t>
      </w:r>
      <w:r>
        <w:t xml:space="preserve"> </w:t>
      </w:r>
      <w:hyperlink r:id="rId157">
        <w:r>
          <w:rPr>
            <w:rStyle w:val="Hyperlink"/>
          </w:rPr>
          <w:t xml:space="preserve">https://learn.microsoft.com/windows-server/identity/ad-ds/plan/active-directory-domain-services-maximum-limits</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“How trust relationships work for forests in Active Directory,”</w:t>
      </w:r>
      <w:r>
        <w:t xml:space="preserve"> </w:t>
      </w:r>
      <w:r>
        <w:t xml:space="preserve">section</w:t>
      </w:r>
      <w:r>
        <w:t xml:space="preserve"> </w:t>
      </w:r>
      <w:r>
        <w:t xml:space="preserve">“Trusted domain object,”</w:t>
      </w:r>
      <w:r>
        <w:t xml:space="preserve"> </w:t>
      </w:r>
      <w:hyperlink r:id="rId162">
        <w:r>
          <w:rPr>
            <w:rStyle w:val="Hyperlink"/>
          </w:rPr>
          <w:t xml:space="preserve">https://learn.microsoft.com/entra/identity/domain-services/concepts-forest-trust</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“Get-ADTrust,”</w:t>
      </w:r>
      <w:r>
        <w:t xml:space="preserve"> </w:t>
      </w:r>
      <w:hyperlink r:id="rId164">
        <w:r>
          <w:rPr>
            <w:rStyle w:val="Hyperlink"/>
          </w:rPr>
          <w:t xml:space="preserve">https://learn.microsoft.com/powershell/module/activedirectory/get-adtrust?view=windowsserver2025-ps</w:t>
        </w:r>
      </w:hyperlink>
      <w:r>
        <w:t xml:space="preserve"> </w:t>
      </w:r>
      <w:r>
        <w:t xml:space="preserve">(accessed Oct 20, 2026).</w:t>
      </w:r>
    </w:p>
  </w:footnote>
  <w:footnote w:id="165">
    <w:p>
      <w:pPr>
        <w:pStyle w:val="FootnoteText"/>
      </w:pPr>
      <w:r>
        <w:rPr>
          <w:rStyle w:val="FootnoteReference"/>
        </w:rPr>
        <w:footnoteRef/>
      </w:r>
      <w:r>
        <w:t xml:space="preserve"> </w:t>
      </w:r>
      <w:r>
        <w:t xml:space="preserve">Microsoft, [MS-ADTS]</w:t>
      </w:r>
      <w:r>
        <w:t xml:space="preserve"> </w:t>
      </w:r>
      <w:r>
        <w:rPr>
          <w:i/>
          <w:iCs/>
        </w:rPr>
        <w:t xml:space="preserve">Active Directory Technical Specification</w:t>
      </w:r>
      <w:r>
        <w:t xml:space="preserve">,</w:t>
      </w:r>
      <w:r>
        <w:t xml:space="preserve"> </w:t>
      </w:r>
      <w:r>
        <w:t xml:space="preserve">“trustAttributes,”</w:t>
      </w:r>
      <w:r>
        <w:t xml:space="preserve"> </w:t>
      </w:r>
      <w:hyperlink r:id="rId166">
        <w:r>
          <w:rPr>
            <w:rStyle w:val="Hyperlink"/>
          </w:rPr>
          <w:t xml:space="preserve">https://learn.microsoft.com/openspecs/windows_protocols/ms-adts/e9a2d23c-c31e-4a6f-88a0-6646fdb51a3c</w:t>
        </w:r>
      </w:hyperlink>
      <w:r>
        <w:t xml:space="preserve"> </w:t>
      </w:r>
      <w:r>
        <w:t xml:space="preserve">(accessed Oct 20, 2026).</w:t>
      </w:r>
    </w:p>
  </w:footnote>
  <w:footnote w:id="167">
    <w:p>
      <w:pPr>
        <w:pStyle w:val="FootnoteText"/>
      </w:pPr>
      <w:r>
        <w:rPr>
          <w:rStyle w:val="FootnoteReference"/>
        </w:rPr>
        <w:footnoteRef/>
      </w:r>
      <w:r>
        <w:t xml:space="preserve"> </w:t>
      </w:r>
      <w:r>
        <w:t xml:space="preserve">Microsoft Learn,</w:t>
      </w:r>
      <w:r>
        <w:t xml:space="preserve"> </w:t>
      </w:r>
      <w:r>
        <w:t xml:space="preserve">“Management concepts for user accounts, passwords, and administration in Microsoft Entra Domain Services,”</w:t>
      </w:r>
      <w:r>
        <w:t xml:space="preserve"> </w:t>
      </w:r>
      <w:r>
        <w:t xml:space="preserve">section</w:t>
      </w:r>
      <w:r>
        <w:t xml:space="preserve"> </w:t>
      </w:r>
      <w:r>
        <w:t xml:space="preserve">“Forests and trusts,”</w:t>
      </w:r>
      <w:r>
        <w:t xml:space="preserve"> </w:t>
      </w:r>
      <w:hyperlink r:id="rId168">
        <w:r>
          <w:rPr>
            <w:rStyle w:val="Hyperlink"/>
          </w:rPr>
          <w:t xml:space="preserve">https://learn.microsoft.com/entra/identity/domain-services/administration-concepts</w:t>
        </w:r>
      </w:hyperlink>
      <w:r>
        <w:t xml:space="preserve">, and</w:t>
      </w:r>
      <w:r>
        <w:t xml:space="preserve"> </w:t>
      </w:r>
      <w:r>
        <w:t xml:space="preserve">“How trust relationships work for forests in Active Directory,”</w:t>
      </w:r>
      <w:r>
        <w:t xml:space="preserve"> </w:t>
      </w:r>
      <w:r>
        <w:t xml:space="preserve">section</w:t>
      </w:r>
      <w:r>
        <w:t xml:space="preserve"> </w:t>
      </w:r>
      <w:r>
        <w:t xml:space="preserve">“Forest trusts,”</w:t>
      </w:r>
      <w:r>
        <w:t xml:space="preserve"> </w:t>
      </w:r>
      <w:hyperlink r:id="rId162">
        <w:r>
          <w:rPr>
            <w:rStyle w:val="Hyperlink"/>
          </w:rPr>
          <w:t xml:space="preserve">https://learn.microsoft.com/entra/identity/domain-services/concepts-forest-trust</w:t>
        </w:r>
      </w:hyperlink>
      <w:r>
        <w:t xml:space="preserve"> </w:t>
      </w:r>
      <w:r>
        <w:t xml:space="preserve">(accessed Oct 20, 2026).</w:t>
      </w:r>
    </w:p>
  </w:footnote>
  <w:footnote w:id="170">
    <w:p>
      <w:pPr>
        <w:pStyle w:val="FootnoteText"/>
      </w:pPr>
      <w:r>
        <w:rPr>
          <w:rStyle w:val="FootnoteReference"/>
        </w:rPr>
        <w:footnoteRef/>
      </w:r>
      <w:r>
        <w:t xml:space="preserve"> </w:t>
      </w:r>
      <w:r>
        <w:t xml:space="preserve">Microsoft Learn,</w:t>
      </w:r>
      <w:r>
        <w:t xml:space="preserve"> </w:t>
      </w:r>
      <w:r>
        <w:t xml:space="preserve">“ActiveDirectory Module,”</w:t>
      </w:r>
      <w:r>
        <w:t xml:space="preserve"> </w:t>
      </w:r>
      <w:r>
        <w:t xml:space="preserve">cmdlet index,</w:t>
      </w:r>
      <w:r>
        <w:t xml:space="preserve"> </w:t>
      </w:r>
      <w:hyperlink r:id="rId65">
        <w:r>
          <w:rPr>
            <w:rStyle w:val="Hyperlink"/>
          </w:rPr>
          <w:t xml:space="preserve">https://learn.microsoft.com/powershell/module/activedirectory/?view=windowsserver2025-ps</w:t>
        </w:r>
      </w:hyperlink>
      <w:r>
        <w:t xml:space="preserve"> </w:t>
      </w:r>
      <w:r>
        <w:t xml:space="preserve">(accessed Oct 20, 2026).</w:t>
      </w:r>
    </w:p>
  </w:footnote>
  <w:footnote w:id="171">
    <w:p>
      <w:pPr>
        <w:pStyle w:val="FootnoteText"/>
      </w:pPr>
      <w:r>
        <w:rPr>
          <w:rStyle w:val="FootnoteReference"/>
        </w:rPr>
        <w:footnoteRef/>
      </w:r>
      <w:r>
        <w:t xml:space="preserve"> </w:t>
      </w:r>
      <w:r>
        <w:t xml:space="preserve">Microsoft Learn,</w:t>
      </w:r>
      <w:r>
        <w:t xml:space="preserve"> </w:t>
      </w:r>
      <w:r>
        <w:t xml:space="preserve">“netdom trust”</w:t>
      </w:r>
      <w:r>
        <w:t xml:space="preserve"> </w:t>
      </w:r>
      <w:r>
        <w:t xml:space="preserve">and</w:t>
      </w:r>
      <w:r>
        <w:t xml:space="preserve"> </w:t>
      </w:r>
      <w:r>
        <w:t xml:space="preserve">“netdom query,”</w:t>
      </w:r>
      <w:r>
        <w:t xml:space="preserve"> </w:t>
      </w:r>
      <w:hyperlink r:id="rId42">
        <w:r>
          <w:rPr>
            <w:rStyle w:val="Hyperlink"/>
          </w:rPr>
          <w:t xml:space="preserve">https://learn.microsoft.com/windows-server/administration/windows-commands/netdom-trust</w:t>
        </w:r>
      </w:hyperlink>
      <w:r>
        <w:t xml:space="preserve"> </w:t>
      </w:r>
      <w:r>
        <w:t xml:space="preserve">and</w:t>
      </w:r>
      <w:r>
        <w:t xml:space="preserve"> </w:t>
      </w:r>
      <w:hyperlink r:id="rId43">
        <w:r>
          <w:rPr>
            <w:rStyle w:val="Hyperlink"/>
          </w:rPr>
          <w:t xml:space="preserve">https://learn.microsoft.com/windows-server/administration/windows-commands/netdom-query</w:t>
        </w:r>
      </w:hyperlink>
      <w:r>
        <w:t xml:space="preserve"> </w:t>
      </w:r>
      <w:r>
        <w:t xml:space="preserve">(accessed Oct 20, 2026).</w:t>
      </w:r>
    </w:p>
  </w:footnote>
  <w:footnote w:id="172">
    <w:p>
      <w:pPr>
        <w:pStyle w:val="FootnoteText"/>
      </w:pPr>
      <w:r>
        <w:rPr>
          <w:rStyle w:val="FootnoteReference"/>
        </w:rPr>
        <w:footnoteRef/>
      </w:r>
      <w:r>
        <w:t xml:space="preserve"> </w:t>
      </w:r>
      <w:r>
        <w:t xml:space="preserve">Microsoft Learn,</w:t>
      </w:r>
      <w:r>
        <w:t xml:space="preserve"> </w:t>
      </w:r>
      <w:r>
        <w:t xml:space="preserve">“Overview: Cross-tenant access with Microsoft Entra External ID,”</w:t>
      </w:r>
      <w:r>
        <w:t xml:space="preserve"> </w:t>
      </w:r>
      <w:hyperlink r:id="rId173">
        <w:r>
          <w:rPr>
            <w:rStyle w:val="Hyperlink"/>
          </w:rPr>
          <w:t xml:space="preserve">https://learn.microsoft.com/entra/external-id/cross-tenant-access-overview</w:t>
        </w:r>
      </w:hyperlink>
      <w:r>
        <w:t xml:space="preserve"> </w:t>
      </w:r>
      <w:r>
        <w:t xml:space="preserve">(accessed Oct 20, 2026).</w:t>
      </w:r>
    </w:p>
  </w:footnote>
  <w:footnote w:id="182">
    <w:p>
      <w:pPr>
        <w:pStyle w:val="FootnoteText"/>
      </w:pPr>
      <w:r>
        <w:rPr>
          <w:rStyle w:val="FootnoteReference"/>
        </w:rPr>
        <w:footnoteRef/>
      </w:r>
      <w:r>
        <w:t xml:space="preserve"> </w:t>
      </w:r>
      <w:r>
        <w:t xml:space="preserve">Microsoft Learn,</w:t>
      </w:r>
      <w:r>
        <w:t xml:space="preserve"> </w:t>
      </w:r>
      <w:r>
        <w:t xml:space="preserve">“Manage group Managed Service Accounts,”</w:t>
      </w:r>
      <w:r>
        <w:t xml:space="preserve"> </w:t>
      </w:r>
      <w:hyperlink r:id="rId152">
        <w:r>
          <w:rPr>
            <w:rStyle w:val="Hyperlink"/>
          </w:rPr>
          <w:t xml:space="preserve">https://learn.microsoft.com/windows-server/identity/ad-ds/manage/group-managed-service-accounts/group-managed-service-accounts/manage-group-managed-service-accounts</w:t>
        </w:r>
      </w:hyperlink>
      <w:r>
        <w:t xml:space="preserve"> </w:t>
      </w:r>
      <w:r>
        <w:t xml:space="preserve">(accessed Oct 20, 2026).</w:t>
      </w:r>
    </w:p>
  </w:footnote>
  <w:footnote w:id="183">
    <w:p>
      <w:pPr>
        <w:pStyle w:val="FootnoteText"/>
      </w:pPr>
      <w:r>
        <w:rPr>
          <w:rStyle w:val="FootnoteReference"/>
        </w:rPr>
        <w:footnoteRef/>
      </w:r>
      <w:r>
        <w:t xml:space="preserve"> </w:t>
      </w:r>
      <w:r>
        <w:t xml:space="preserve">Microsoft Learn,</w:t>
      </w:r>
      <w:r>
        <w:t xml:space="preserve"> </w:t>
      </w:r>
      <w:r>
        <w:t xml:space="preserve">“Run assessments with Managed Service Accounts,”</w:t>
      </w:r>
      <w:r>
        <w:t xml:space="preserve"> </w:t>
      </w:r>
      <w:r>
        <w:t xml:space="preserve">Microsoft Engage Center,</w:t>
      </w:r>
      <w:r>
        <w:t xml:space="preserve"> </w:t>
      </w:r>
      <w:hyperlink r:id="rId184">
        <w:r>
          <w:rPr>
            <w:rStyle w:val="Hyperlink"/>
          </w:rPr>
          <w:t xml:space="preserve">https://learn.microsoft.com/services-hub/microsoft-engage-center/health/kb/kb-running-assessments-with-msas</w:t>
        </w:r>
      </w:hyperlink>
      <w:r>
        <w:t xml:space="preserve"> </w:t>
      </w:r>
      <w:r>
        <w:t xml:space="preserve">(accessed Oct 20, 2026).</w:t>
      </w:r>
    </w:p>
  </w:footnote>
  <w:footnote w:id="187">
    <w:p>
      <w:pPr>
        <w:pStyle w:val="FootnoteText"/>
      </w:pPr>
      <w:r>
        <w:rPr>
          <w:rStyle w:val="FootnoteReference"/>
        </w:rPr>
        <w:footnoteRef/>
      </w:r>
      <w:r>
        <w:t xml:space="preserve"> </w:t>
      </w:r>
      <w:r>
        <w:t xml:space="preserve">Gitea,</w:t>
      </w:r>
      <w:r>
        <w:t xml:space="preserve"> </w:t>
      </w:r>
      <w:r>
        <w:t xml:space="preserve">“API Usage,”</w:t>
      </w:r>
      <w:r>
        <w:t xml:space="preserve"> </w:t>
      </w:r>
      <w:hyperlink r:id="rId188">
        <w:r>
          <w:rPr>
            <w:rStyle w:val="Hyperlink"/>
          </w:rPr>
          <w:t xml:space="preserve">https://docs.gitea.com/development/api-usage</w:t>
        </w:r>
      </w:hyperlink>
      <w:r>
        <w:t xml:space="preserve"> </w:t>
      </w:r>
      <w:r>
        <w:t xml:space="preserve">(accessed Oct 20, 2026).</w:t>
      </w:r>
    </w:p>
  </w:footnote>
  <w:footnote w:id="189">
    <w:p>
      <w:pPr>
        <w:pStyle w:val="FootnoteText"/>
      </w:pPr>
      <w:r>
        <w:rPr>
          <w:rStyle w:val="FootnoteReference"/>
        </w:rPr>
        <w:footnoteRef/>
      </w:r>
      <w:r>
        <w:t xml:space="preserve"> </w:t>
      </w:r>
      <w:r>
        <w:t xml:space="preserve">Gitea, API specification (OpenAPI 2.0),</w:t>
      </w:r>
      <w:r>
        <w:t xml:space="preserve"> </w:t>
      </w:r>
      <w:hyperlink r:id="rId190">
        <w:r>
          <w:rPr>
            <w:rStyle w:val="Hyperlink"/>
          </w:rPr>
          <w:t xml:space="preserve">https://gitea.com/swagger.v1.json</w:t>
        </w:r>
      </w:hyperlink>
      <w:r>
        <w:t xml:space="preserve"> </w:t>
      </w:r>
      <w:r>
        <w:t xml:space="preserve">(accessed Oct 20, 2026). Endpoint names, request fields and the deprecation of query-parameter tokens are as published there; confirm them against</w:t>
      </w:r>
      <w:r>
        <w:t xml:space="preserve"> </w:t>
      </w:r>
      <w:r>
        <w:rPr>
          <w:rStyle w:val="VerbatimChar"/>
        </w:rPr>
        <w:t xml:space="preserve">/api/swagger</w:t>
      </w:r>
      <w:r>
        <w:t xml:space="preserve"> </w:t>
      </w:r>
      <w:r>
        <w:t xml:space="preserve">on your own instance, because fields vary by Gitea version.</w:t>
      </w:r>
    </w:p>
  </w:footnote>
  <w:footnote w:id="191">
    <w:p>
      <w:pPr>
        <w:pStyle w:val="FootnoteText"/>
      </w:pPr>
      <w:r>
        <w:rPr>
          <w:rStyle w:val="FootnoteReference"/>
        </w:rPr>
        <w:footnoteRef/>
      </w:r>
      <w:r>
        <w:t xml:space="preserve"> </w:t>
      </w:r>
      <w:r>
        <w:t xml:space="preserve">Gitea, API specification (OpenAPI 2.0),</w:t>
      </w:r>
      <w:r>
        <w:t xml:space="preserve"> </w:t>
      </w:r>
      <w:hyperlink r:id="rId190">
        <w:r>
          <w:rPr>
            <w:rStyle w:val="Hyperlink"/>
          </w:rPr>
          <w:t xml:space="preserve">https://gitea.com/swagger.v1.json</w:t>
        </w:r>
      </w:hyperlink>
      <w:r>
        <w:t xml:space="preserve"> </w:t>
      </w:r>
      <w:r>
        <w:t xml:space="preserve">(accessed Oct 20, 2026). Endpoint names, request fields and the deprecation of query-parameter tokens are as published there; confirm them against</w:t>
      </w:r>
      <w:r>
        <w:t xml:space="preserve"> </w:t>
      </w:r>
      <w:r>
        <w:rPr>
          <w:rStyle w:val="VerbatimChar"/>
        </w:rPr>
        <w:t xml:space="preserve">/api/swagger</w:t>
      </w:r>
      <w:r>
        <w:t xml:space="preserve"> </w:t>
      </w:r>
      <w:r>
        <w:t xml:space="preserve">on your own instance, because fields vary by Gitea version.</w:t>
      </w:r>
    </w:p>
  </w:footnote>
  <w:footnote w:id="193">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hyperlink r:id="rId40">
        <w:r>
          <w:rPr>
            <w:rStyle w:val="Hyperlink"/>
          </w:rPr>
          <w:t xml:space="preserve">https://learn.microsoft.com/defender-for-identity/unsafe-permissions-dns-admins-group</w:t>
        </w:r>
      </w:hyperlink>
      <w:r>
        <w:t xml:space="preserve"> </w:t>
      </w:r>
      <w:r>
        <w:t xml:space="preserve">(accessed Oct 20, 2026).</w:t>
      </w:r>
    </w:p>
  </w:footnote>
  <w:footnote w:id="194">
    <w:p>
      <w:pPr>
        <w:pStyle w:val="FootnoteText"/>
      </w:pPr>
      <w:r>
        <w:rPr>
          <w:rStyle w:val="FootnoteReference"/>
        </w:rPr>
        <w:footnoteRef/>
      </w:r>
      <w:r>
        <w:t xml:space="preserve"> </w:t>
      </w:r>
      <w:r>
        <w:t xml:space="preserve">Microsoft Learn,</w:t>
      </w:r>
      <w:r>
        <w:t xml:space="preserve"> </w:t>
      </w:r>
      <w:r>
        <w:t xml:space="preserve">“Run assessments with Managed Service Accounts,”</w:t>
      </w:r>
      <w:r>
        <w:t xml:space="preserve"> </w:t>
      </w:r>
      <w:r>
        <w:t xml:space="preserve">Microsoft Engage Center,</w:t>
      </w:r>
      <w:r>
        <w:t xml:space="preserve"> </w:t>
      </w:r>
      <w:hyperlink r:id="rId184">
        <w:r>
          <w:rPr>
            <w:rStyle w:val="Hyperlink"/>
          </w:rPr>
          <w:t xml:space="preserve">https://learn.microsoft.com/services-hub/microsoft-engage-center/health/kb/kb-running-assessments-with-msas</w:t>
        </w:r>
      </w:hyperlink>
      <w:r>
        <w:t xml:space="preserve"> </w:t>
      </w:r>
      <w:r>
        <w:t xml:space="preserve">(accessed Oct 20, 2026).</w:t>
      </w:r>
    </w:p>
  </w:footnote>
  <w:footnote w:id="196">
    <w:p>
      <w:pPr>
        <w:pStyle w:val="FootnoteText"/>
      </w:pPr>
      <w:r>
        <w:rPr>
          <w:rStyle w:val="FootnoteReference"/>
        </w:rPr>
        <w:footnoteRef/>
      </w:r>
      <w:r>
        <w:t xml:space="preserve"> </w:t>
      </w:r>
      <w:r>
        <w:t xml:space="preserve">Microsoft Learn,</w:t>
      </w:r>
      <w:r>
        <w:t xml:space="preserve"> </w:t>
      </w:r>
      <w:r>
        <w:t xml:space="preserve">“Specify a server name and port number for an Active Directory cmdlet,”</w:t>
      </w:r>
      <w:r>
        <w:t xml:space="preserve"> </w:t>
      </w:r>
      <w:hyperlink r:id="rId197">
        <w:r>
          <w:rPr>
            <w:rStyle w:val="Hyperlink"/>
          </w:rPr>
          <w:t xml:space="preserve">https://learn.microsoft.com/troubleshoot/windows-server/active-directory/specify-server-port-active-directory-powershell-cmdlet</w:t>
        </w:r>
      </w:hyperlink>
      <w:r>
        <w:t xml:space="preserve"> </w:t>
      </w:r>
      <w:r>
        <w:t xml:space="preserve">(accessed Oct 20, 2026).</w:t>
      </w:r>
    </w:p>
  </w:footnote>
  <w:footnote w:id="198">
    <w:p>
      <w:pPr>
        <w:pStyle w:val="FootnoteText"/>
      </w:pPr>
      <w:r>
        <w:rPr>
          <w:rStyle w:val="FootnoteReference"/>
        </w:rPr>
        <w:footnoteRef/>
      </w:r>
      <w:r>
        <w:t xml:space="preserve"> </w:t>
      </w:r>
      <w:r>
        <w:t xml:space="preserve">Microsoft Learn,</w:t>
      </w:r>
      <w:r>
        <w:t xml:space="preserve"> </w:t>
      </w:r>
      <w:r>
        <w:t xml:space="preserve">“Service overview and network port requirements for Windows,”</w:t>
      </w:r>
      <w:r>
        <w:t xml:space="preserve"> </w:t>
      </w:r>
      <w:hyperlink r:id="rId199">
        <w:r>
          <w:rPr>
            <w:rStyle w:val="Hyperlink"/>
          </w:rPr>
          <w:t xml:space="preserve">https://learn.microsoft.com/troubleshoot/windows-server/networking/service-overview-and-network-port-requirements</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“Security Considerations for PowerShell Remoting using WinRM,”</w:t>
      </w:r>
      <w:r>
        <w:t xml:space="preserve"> </w:t>
      </w:r>
      <w:hyperlink r:id="rId201">
        <w:r>
          <w:rPr>
            <w:rStyle w:val="Hyperlink"/>
          </w:rPr>
          <w:t xml:space="preserve">https://learn.microsoft.com/powershell/scripting/security/remoting/winrm-security</w:t>
        </w:r>
      </w:hyperlink>
      <w:r>
        <w:t xml:space="preserve"> </w:t>
      </w:r>
      <w:r>
        <w:t xml:space="preserve">(accessed Oct 20, 2026).</w:t>
      </w:r>
    </w:p>
  </w:footnote>
  <w:footnote w:id="205">
    <w:p>
      <w:pPr>
        <w:pStyle w:val="FootnoteText"/>
      </w:pPr>
      <w:r>
        <w:rPr>
          <w:rStyle w:val="FootnoteReference"/>
        </w:rPr>
        <w:footnoteRef/>
      </w:r>
      <w:r>
        <w:t xml:space="preserve"> </w:t>
      </w:r>
      <w:r>
        <w:t xml:space="preserve">Microsoft Learn,</w:t>
      </w:r>
      <w:r>
        <w:t xml:space="preserve"> </w:t>
      </w:r>
      <w:r>
        <w:t xml:space="preserve">“Specify a server name and port number for an Active Directory cmdlet,”</w:t>
      </w:r>
      <w:r>
        <w:t xml:space="preserve"> </w:t>
      </w:r>
      <w:hyperlink r:id="rId197">
        <w:r>
          <w:rPr>
            <w:rStyle w:val="Hyperlink"/>
          </w:rPr>
          <w:t xml:space="preserve">https://learn.microsoft.com/troubleshoot/windows-server/active-directory/specify-server-port-active-directory-powershell-cmdlet</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“Installation and configuration for Windows Remote Management,”</w:t>
      </w:r>
      <w:r>
        <w:t xml:space="preserve"> </w:t>
      </w:r>
      <w:r>
        <w:t xml:space="preserve">section</w:t>
      </w:r>
      <w:r>
        <w:t xml:space="preserve"> </w:t>
      </w:r>
      <w:r>
        <w:t xml:space="preserve">“TrustedHosts,”</w:t>
      </w:r>
      <w:r>
        <w:t xml:space="preserve"> </w:t>
      </w:r>
      <w:hyperlink r:id="rId207">
        <w:r>
          <w:rPr>
            <w:rStyle w:val="Hyperlink"/>
          </w:rPr>
          <w:t xml:space="preserve">https://learn.microsoft.com/windows/win32/winrm/installation-and-configuration-for-windows-remote-management</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w:t>
      </w:r>
      <w:r>
        <w:t xml:space="preserve">‘Size Limit Exceeded - Error Code 0x4’</w:t>
      </w:r>
      <w:r>
        <w:t xml:space="preserve"> </w:t>
      </w:r>
      <w:r>
        <w:t xml:space="preserve">error message during delta import in Microsoft Entra Connect,”</w:t>
      </w:r>
      <w:r>
        <w:t xml:space="preserve"> </w:t>
      </w:r>
      <w:hyperlink r:id="rId209">
        <w:r>
          <w:rPr>
            <w:rStyle w:val="Hyperlink"/>
          </w:rPr>
          <w:t xml:space="preserve">https://learn.microsoft.com/troubleshoot/entra/entra-id/user-prov-sync/size-limit-exceeded</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6" Target="media/rId176.svg" /><Relationship Type="http://schemas.openxmlformats.org/officeDocument/2006/relationships/image" Id="rId76" Target="media/rId76.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212" Target="media/rId212.png" /><Relationship Type="http://schemas.openxmlformats.org/officeDocument/2006/relationships/image" Id="rId21" Target="media/rId21.png" /><Relationship Type="http://schemas.openxmlformats.org/officeDocument/2006/relationships/hyperlink" Id="rId15" Target="../b05-devices/07-the-gpo-sunset-program.md" TargetMode="External" /><Relationship Type="http://schemas.openxmlformats.org/officeDocument/2006/relationships/hyperlink" Id="rId124" Target="../b07-pki/index.md" TargetMode="External" /><Relationship Type="http://schemas.openxmlformats.org/officeDocument/2006/relationships/hyperlink" Id="rId99" Target="../b08-ddi/index.md" TargetMode="External" /><Relationship Type="http://schemas.openxmlformats.org/officeDocument/2006/relationships/hyperlink" Id="rId93" Target="04-the-hidden-migration-surface.md" TargetMode="External" /><Relationship Type="http://schemas.openxmlformats.org/officeDocument/2006/relationships/hyperlink" Id="rId68" Target="05-delegation-without-ous.md" TargetMode="External" /><Relationship Type="http://schemas.openxmlformats.org/officeDocument/2006/relationships/hyperlink" Id="rId13" Target="07-read-only-discovery.md" TargetMode="External" /><Relationship Type="http://schemas.openxmlformats.org/officeDocument/2006/relationships/hyperlink" Id="rId14" Target="09-building-the-entra-target.md" TargetMode="External" /><Relationship Type="http://schemas.openxmlformats.org/officeDocument/2006/relationships/hyperlink" Id="rId158" Target="10-migrating-and-governing.md" TargetMode="External" /><Relationship Type="http://schemas.openxmlformats.org/officeDocument/2006/relationships/hyperlink" Id="rId12" Target="appendix-b-forest-assessment-module.md" TargetMode="External" /><Relationship Type="http://schemas.openxmlformats.org/officeDocument/2006/relationships/hyperlink" Id="rId188" Target="https://docs.gitea.com/development/api-usage" TargetMode="External" /><Relationship Type="http://schemas.openxmlformats.org/officeDocument/2006/relationships/hyperlink" Id="rId108" Target="https://docs.specterops.io/ghostpack-docs/Certify.wik-mdx/overview" TargetMode="External" /><Relationship Type="http://schemas.openxmlformats.org/officeDocument/2006/relationships/hyperlink" Id="rId190" Target="https://gitea.com/swagger.v1.json" TargetMode="External" /><Relationship Type="http://schemas.openxmlformats.org/officeDocument/2006/relationships/hyperlink" Id="rId133" Target="https://learn.microsoft.com/defender-for-identity/security-posture-assessments/accounts" TargetMode="External" /><Relationship Type="http://schemas.openxmlformats.org/officeDocument/2006/relationships/hyperlink" Id="rId110" Target="https://learn.microsoft.com/defender-for-identity/security-posture-assessments/certificates" TargetMode="External" /><Relationship Type="http://schemas.openxmlformats.org/officeDocument/2006/relationships/hyperlink" Id="rId40" Target="https://learn.microsoft.com/defender-for-identity/unsafe-permissions-dns-admins-group" TargetMode="External" /><Relationship Type="http://schemas.openxmlformats.org/officeDocument/2006/relationships/hyperlink" Id="rId173" Target="https://learn.microsoft.com/entra/external-id/cross-tenant-access-overview" TargetMode="External" /><Relationship Type="http://schemas.openxmlformats.org/officeDocument/2006/relationships/hyperlink" Id="rId126" Target="https://learn.microsoft.com/entra/identity/authentication/concept-certificate-based-authentication" TargetMode="External" /><Relationship Type="http://schemas.openxmlformats.org/officeDocument/2006/relationships/hyperlink" Id="rId168" Target="https://learn.microsoft.com/entra/identity/domain-services/administration-concepts" TargetMode="External" /><Relationship Type="http://schemas.openxmlformats.org/officeDocument/2006/relationships/hyperlink" Id="rId162" Target="https://learn.microsoft.com/entra/identity/domain-services/concepts-forest-trust" TargetMode="External" /><Relationship Type="http://schemas.openxmlformats.org/officeDocument/2006/relationships/hyperlink" Id="rId90" Target="https://learn.microsoft.com/intune/device-configuration/import-group-policy-analytics" TargetMode="External" /><Relationship Type="http://schemas.openxmlformats.org/officeDocument/2006/relationships/hyperlink" Id="rId88" Target="https://learn.microsoft.com/intune/device-configuration/migrate-group-policy" TargetMode="External" /><Relationship Type="http://schemas.openxmlformats.org/officeDocument/2006/relationships/hyperlink" Id="rId166" Target="https://learn.microsoft.com/openspecs/windows_protocols/ms-adts/e9a2d23c-c31e-4a6f-88a0-6646fdb51a3c" TargetMode="External" /><Relationship Type="http://schemas.openxmlformats.org/officeDocument/2006/relationships/hyperlink" Id="rId65" Target="https://learn.microsoft.com/powershell/module/activedirectory/?view=windowsserver2025-ps" TargetMode="External" /><Relationship Type="http://schemas.openxmlformats.org/officeDocument/2006/relationships/hyperlink" Id="rId164" Target="https://learn.microsoft.com/powershell/module/activedirectory/get-adtrust?view=windowsserver2025-ps" TargetMode="External" /><Relationship Type="http://schemas.openxmlformats.org/officeDocument/2006/relationships/hyperlink" Id="rId54" Target="https://learn.microsoft.com/powershell/module/activedirectory/set-adforestmode?view=windowsserver2025-ps" TargetMode="External" /><Relationship Type="http://schemas.openxmlformats.org/officeDocument/2006/relationships/hyperlink" Id="rId95" Target="https://learn.microsoft.com/powershell/module/dnsserver/get-dnsserverdnsseczonesetting?view=windowsserver2025-ps" TargetMode="External" /><Relationship Type="http://schemas.openxmlformats.org/officeDocument/2006/relationships/hyperlink" Id="rId81" Target="https://learn.microsoft.com/powershell/module/grouppolicy/?view=windowsserver2025-ps" TargetMode="External" /><Relationship Type="http://schemas.openxmlformats.org/officeDocument/2006/relationships/hyperlink" Id="rId70" Target="https://learn.microsoft.com/powershell/module/grouppolicy/get-gpinheritance?view=windowsserver2025-ps" TargetMode="External" /><Relationship Type="http://schemas.openxmlformats.org/officeDocument/2006/relationships/hyperlink" Id="rId83" Target="https://learn.microsoft.com/powershell/module/grouppolicy/get-gporeport?view=windowsserver2025-ps" TargetMode="External" /><Relationship Type="http://schemas.openxmlformats.org/officeDocument/2006/relationships/hyperlink" Id="rId85" Target="https://learn.microsoft.com/powershell/module/grouppolicy/get-gppermission?view=windowsserver2025-ps" TargetMode="External" /><Relationship Type="http://schemas.openxmlformats.org/officeDocument/2006/relationships/hyperlink" Id="rId33" Target="https://learn.microsoft.com/powershell/scripting/security/remoting/ps-remoting-second-hop" TargetMode="External" /><Relationship Type="http://schemas.openxmlformats.org/officeDocument/2006/relationships/hyperlink" Id="rId201" Target="https://learn.microsoft.com/powershell/scripting/security/remoting/winrm-security" TargetMode="External" /><Relationship Type="http://schemas.openxmlformats.org/officeDocument/2006/relationships/hyperlink" Id="rId143" Target="https://learn.microsoft.com/security/privileged-access-workstations/privileged-access-security-levels" TargetMode="External" /><Relationship Type="http://schemas.openxmlformats.org/officeDocument/2006/relationships/hyperlink" Id="rId184" Target="https://learn.microsoft.com/services-hub/microsoft-engage-center/health/kb/kb-running-assessments-with-msas" TargetMode="External" /><Relationship Type="http://schemas.openxmlformats.org/officeDocument/2006/relationships/hyperlink" Id="rId209" Target="https://learn.microsoft.com/troubleshoot/entra/entra-id/user-prov-sync/size-limit-exceeded" TargetMode="External" /><Relationship Type="http://schemas.openxmlformats.org/officeDocument/2006/relationships/hyperlink" Id="rId131" Target="https://learn.microsoft.com/troubleshoot/mem/configmgr/discovery/lastlogontimestamp-not-accurate" TargetMode="External" /><Relationship Type="http://schemas.openxmlformats.org/officeDocument/2006/relationships/hyperlink" Id="rId155" Target="https://learn.microsoft.com/troubleshoot/windows-server/active-directory/domain-controller-returns-500-values-ldap-response" TargetMode="External" /><Relationship Type="http://schemas.openxmlformats.org/officeDocument/2006/relationships/hyperlink" Id="rId197" Target="https://learn.microsoft.com/troubleshoot/windows-server/active-directory/specify-server-port-active-directory-powershell-cmdlet" TargetMode="External" /><Relationship Type="http://schemas.openxmlformats.org/officeDocument/2006/relationships/hyperlink" Id="rId119" Target="https://learn.microsoft.com/troubleshoot/windows-server/certificates-and-public-key-infrastructure-pki/enabling-smart-card-logon-third-party-certification-authorities" TargetMode="External" /><Relationship Type="http://schemas.openxmlformats.org/officeDocument/2006/relationships/hyperlink" Id="rId199" Target="https://learn.microsoft.com/troubleshoot/windows-server/networking/service-overview-and-network-port-requirements" TargetMode="External" /><Relationship Type="http://schemas.openxmlformats.org/officeDocument/2006/relationships/hyperlink" Id="rId30" Target="https://learn.microsoft.com/windows-hardware/manufacture/desktop/features-on-demand-non-language-fod" TargetMode="External" /><Relationship Type="http://schemas.openxmlformats.org/officeDocument/2006/relationships/hyperlink" Id="rId28" Target="https://learn.microsoft.com/windows-server/administration/install-remote-server-administration-tools" TargetMode="External" /><Relationship Type="http://schemas.openxmlformats.org/officeDocument/2006/relationships/hyperlink" Id="rId104" Target="https://learn.microsoft.com/windows-server/administration/windows-commands/certutil" TargetMode="External" /><Relationship Type="http://schemas.openxmlformats.org/officeDocument/2006/relationships/hyperlink" Id="rId43" Target="https://learn.microsoft.com/windows-server/administration/windows-commands/netdom-query" TargetMode="External" /><Relationship Type="http://schemas.openxmlformats.org/officeDocument/2006/relationships/hyperlink" Id="rId42" Target="https://learn.microsoft.com/windows-server/administration/windows-commands/netdom-trust" TargetMode="External" /><Relationship Type="http://schemas.openxmlformats.org/officeDocument/2006/relationships/hyperlink" Id="rId56" Target="https://learn.microsoft.com/windows-server/get-started/whats-new-windows-server-2025" TargetMode="External" /><Relationship Type="http://schemas.openxmlformats.org/officeDocument/2006/relationships/hyperlink" Id="rId102" Target="https://learn.microsoft.com/windows-server/identity/ad-cs/monitor-ad-cs-health-enterprise-pki" TargetMode="External" /><Relationship Type="http://schemas.openxmlformats.org/officeDocument/2006/relationships/hyperlink" Id="rId58" Target="https://learn.microsoft.com/windows-server/identity/ad-ds/active-directory-functional-levels" TargetMode="External" /><Relationship Type="http://schemas.openxmlformats.org/officeDocument/2006/relationships/hyperlink" Id="rId150" Target="https://learn.microsoft.com/windows-server/identity/ad-ds/manage/delegated-managed-service-accounts/delegated-managed-service-accounts-overview" TargetMode="External" /><Relationship Type="http://schemas.openxmlformats.org/officeDocument/2006/relationships/hyperlink" Id="rId152" Target="https://learn.microsoft.com/windows-server/identity/ad-ds/manage/group-managed-service-accounts/group-managed-service-accounts/manage-group-managed-service-accounts" TargetMode="External" /><Relationship Type="http://schemas.openxmlformats.org/officeDocument/2006/relationships/hyperlink" Id="rId74" Target="https://learn.microsoft.com/windows-server/identity/ad-ds/manage/group-policy/group-policy-processing" TargetMode="External" /><Relationship Type="http://schemas.openxmlformats.org/officeDocument/2006/relationships/hyperlink" Id="rId72" Target="https://learn.microsoft.com/windows-server/identity/ad-ds/manage/group-policy/group-policy-scope" TargetMode="External" /><Relationship Type="http://schemas.openxmlformats.org/officeDocument/2006/relationships/hyperlink" Id="rId51" Target="https://learn.microsoft.com/windows-server/identity/ad-ds/manage/manage-fsmo-roles" TargetMode="External" /><Relationship Type="http://schemas.openxmlformats.org/officeDocument/2006/relationships/hyperlink" Id="rId48" Target="https://learn.microsoft.com/windows-server/identity/ad-ds/manage/understand-fsmo-roles" TargetMode="External" /><Relationship Type="http://schemas.openxmlformats.org/officeDocument/2006/relationships/hyperlink" Id="rId157" Target="https://learn.microsoft.com/windows-server/identity/ad-ds/plan/active-directory-domain-services-maximum-limits" TargetMode="External" /><Relationship Type="http://schemas.openxmlformats.org/officeDocument/2006/relationships/hyperlink" Id="rId60" Target="https://learn.microsoft.com/windows-server/identity/ad-ds/plan/identifying-your-functional-level-upgrade" TargetMode="External" /><Relationship Type="http://schemas.openxmlformats.org/officeDocument/2006/relationships/hyperlink" Id="rId62" Target="https://learn.microsoft.com/windows-server/identity/ad-ds/plan/raise-domain-forest-functional-levels" TargetMode="External" /><Relationship Type="http://schemas.openxmlformats.org/officeDocument/2006/relationships/hyperlink" Id="rId145" Target="https://learn.microsoft.com/windows-server/identity/ad-ds/plan/security-best-practices/appendix-c--protected-accounts-and-groups-in-active-directory" TargetMode="External" /><Relationship Type="http://schemas.openxmlformats.org/officeDocument/2006/relationships/hyperlink" Id="rId147" Target="https://learn.microsoft.com/windows-server/identity/ad-ds/plan/security-best-practices/reducing-the-active-directory-attack-surface" TargetMode="External" /><Relationship Type="http://schemas.openxmlformats.org/officeDocument/2006/relationships/hyperlink" Id="rId97" Target="https://learn.microsoft.com/windows-server/networking/dns/configure-aging-scavenging" TargetMode="External" /><Relationship Type="http://schemas.openxmlformats.org/officeDocument/2006/relationships/hyperlink" Id="rId136" Target="https://learn.microsoft.com/windows-server/security/kerberos/kerberos-constrained-delegation-overview" TargetMode="External" /><Relationship Type="http://schemas.openxmlformats.org/officeDocument/2006/relationships/hyperlink" Id="rId25" Target="https://learn.microsoft.com/windows/release-health/windows-server-release-info" TargetMode="External" /><Relationship Type="http://schemas.openxmlformats.org/officeDocument/2006/relationships/hyperlink" Id="rId26" Target="https://learn.microsoft.com/windows/release-health/windows11-release-information" TargetMode="External" /><Relationship Type="http://schemas.openxmlformats.org/officeDocument/2006/relationships/hyperlink" Id="rId130" Target="https://learn.microsoft.com/windows/win32/adschema/a-lastlogontimestamp" TargetMode="External" /><Relationship Type="http://schemas.openxmlformats.org/officeDocument/2006/relationships/hyperlink" Id="rId117" Target="https://learn.microsoft.com/windows/win32/api/certenroll/ne-certenroll-x509certificatetemplateenrollmentflag" TargetMode="External" /><Relationship Type="http://schemas.openxmlformats.org/officeDocument/2006/relationships/hyperlink" Id="rId115" Target="https://learn.microsoft.com/windows/win32/api/certenroll/ne-certenroll-x509certificatetemplatesubjectnameflag" TargetMode="External" /><Relationship Type="http://schemas.openxmlformats.org/officeDocument/2006/relationships/hyperlink" Id="rId207" Target="https://learn.microsoft.com/windows/win32/winrm/installation-and-configuration-for-windows-remote-management" TargetMode="External" /><Relationship Type="http://schemas.openxmlformats.org/officeDocument/2006/relationships/hyperlink" Id="rId35" Target="https://www.pkisolutions.com/tools/pspki/" TargetMode="External" /><Relationship Type="http://schemas.openxmlformats.org/officeDocument/2006/relationships/hyperlink" Id="rId37" Target="https://www.powershellgallery.com/packages/PSPKI" TargetMode="External" /><Relationship Type="http://schemas.openxmlformats.org/officeDocument/2006/relationships/hyperlink" Id="rId121" Target="https://www.rfc-editor.org/rfc/rfc4556" TargetMode="External" /><Relationship Type="http://schemas.openxmlformats.org/officeDocument/2006/relationships/hyperlink" Id="rId123" Target="https://www.rfc-editor.org/rfc/rfc5280" TargetMode="External" /><Relationship Type="http://schemas.openxmlformats.org/officeDocument/2006/relationships/hyperlink" Id="rId215" Target="index.md" TargetMode="External" /></Relationships>
</file>

<file path=word/_rels/footnotes.xml.rels><?xml version="1.0" encoding="UTF-8"?><Relationships xmlns="http://schemas.openxmlformats.org/package/2006/relationships"><Relationship Type="http://schemas.openxmlformats.org/officeDocument/2006/relationships/hyperlink" Id="rId15" Target="../b05-devices/07-the-gpo-sunset-program.md" TargetMode="External" /><Relationship Type="http://schemas.openxmlformats.org/officeDocument/2006/relationships/hyperlink" Id="rId124" Target="../b07-pki/index.md" TargetMode="External" /><Relationship Type="http://schemas.openxmlformats.org/officeDocument/2006/relationships/hyperlink" Id="rId99" Target="../b08-ddi/index.md" TargetMode="External" /><Relationship Type="http://schemas.openxmlformats.org/officeDocument/2006/relationships/hyperlink" Id="rId93" Target="04-the-hidden-migration-surface.md" TargetMode="External" /><Relationship Type="http://schemas.openxmlformats.org/officeDocument/2006/relationships/hyperlink" Id="rId68" Target="05-delegation-without-ous.md" TargetMode="External" /><Relationship Type="http://schemas.openxmlformats.org/officeDocument/2006/relationships/hyperlink" Id="rId13" Target="07-read-only-discovery.md" TargetMode="External" /><Relationship Type="http://schemas.openxmlformats.org/officeDocument/2006/relationships/hyperlink" Id="rId14" Target="09-building-the-entra-target.md" TargetMode="External" /><Relationship Type="http://schemas.openxmlformats.org/officeDocument/2006/relationships/hyperlink" Id="rId158" Target="10-migrating-and-governing.md" TargetMode="External" /><Relationship Type="http://schemas.openxmlformats.org/officeDocument/2006/relationships/hyperlink" Id="rId12" Target="appendix-b-forest-assessment-module.md" TargetMode="External" /><Relationship Type="http://schemas.openxmlformats.org/officeDocument/2006/relationships/hyperlink" Id="rId188" Target="https://docs.gitea.com/development/api-usage" TargetMode="External" /><Relationship Type="http://schemas.openxmlformats.org/officeDocument/2006/relationships/hyperlink" Id="rId108" Target="https://docs.specterops.io/ghostpack-docs/Certify.wik-mdx/overview" TargetMode="External" /><Relationship Type="http://schemas.openxmlformats.org/officeDocument/2006/relationships/hyperlink" Id="rId190" Target="https://gitea.com/swagger.v1.json" TargetMode="External" /><Relationship Type="http://schemas.openxmlformats.org/officeDocument/2006/relationships/hyperlink" Id="rId133" Target="https://learn.microsoft.com/defender-for-identity/security-posture-assessments/accounts" TargetMode="External" /><Relationship Type="http://schemas.openxmlformats.org/officeDocument/2006/relationships/hyperlink" Id="rId110" Target="https://learn.microsoft.com/defender-for-identity/security-posture-assessments/certificates" TargetMode="External" /><Relationship Type="http://schemas.openxmlformats.org/officeDocument/2006/relationships/hyperlink" Id="rId40" Target="https://learn.microsoft.com/defender-for-identity/unsafe-permissions-dns-admins-group" TargetMode="External" /><Relationship Type="http://schemas.openxmlformats.org/officeDocument/2006/relationships/hyperlink" Id="rId173" Target="https://learn.microsoft.com/entra/external-id/cross-tenant-access-overview" TargetMode="External" /><Relationship Type="http://schemas.openxmlformats.org/officeDocument/2006/relationships/hyperlink" Id="rId126" Target="https://learn.microsoft.com/entra/identity/authentication/concept-certificate-based-authentication" TargetMode="External" /><Relationship Type="http://schemas.openxmlformats.org/officeDocument/2006/relationships/hyperlink" Id="rId168" Target="https://learn.microsoft.com/entra/identity/domain-services/administration-concepts" TargetMode="External" /><Relationship Type="http://schemas.openxmlformats.org/officeDocument/2006/relationships/hyperlink" Id="rId162" Target="https://learn.microsoft.com/entra/identity/domain-services/concepts-forest-trust" TargetMode="External" /><Relationship Type="http://schemas.openxmlformats.org/officeDocument/2006/relationships/hyperlink" Id="rId90" Target="https://learn.microsoft.com/intune/device-configuration/import-group-policy-analytics" TargetMode="External" /><Relationship Type="http://schemas.openxmlformats.org/officeDocument/2006/relationships/hyperlink" Id="rId88" Target="https://learn.microsoft.com/intune/device-configuration/migrate-group-policy" TargetMode="External" /><Relationship Type="http://schemas.openxmlformats.org/officeDocument/2006/relationships/hyperlink" Id="rId166" Target="https://learn.microsoft.com/openspecs/windows_protocols/ms-adts/e9a2d23c-c31e-4a6f-88a0-6646fdb51a3c" TargetMode="External" /><Relationship Type="http://schemas.openxmlformats.org/officeDocument/2006/relationships/hyperlink" Id="rId65" Target="https://learn.microsoft.com/powershell/module/activedirectory/?view=windowsserver2025-ps" TargetMode="External" /><Relationship Type="http://schemas.openxmlformats.org/officeDocument/2006/relationships/hyperlink" Id="rId164" Target="https://learn.microsoft.com/powershell/module/activedirectory/get-adtrust?view=windowsserver2025-ps" TargetMode="External" /><Relationship Type="http://schemas.openxmlformats.org/officeDocument/2006/relationships/hyperlink" Id="rId54" Target="https://learn.microsoft.com/powershell/module/activedirectory/set-adforestmode?view=windowsserver2025-ps" TargetMode="External" /><Relationship Type="http://schemas.openxmlformats.org/officeDocument/2006/relationships/hyperlink" Id="rId95" Target="https://learn.microsoft.com/powershell/module/dnsserver/get-dnsserverdnsseczonesetting?view=windowsserver2025-ps" TargetMode="External" /><Relationship Type="http://schemas.openxmlformats.org/officeDocument/2006/relationships/hyperlink" Id="rId81" Target="https://learn.microsoft.com/powershell/module/grouppolicy/?view=windowsserver2025-ps" TargetMode="External" /><Relationship Type="http://schemas.openxmlformats.org/officeDocument/2006/relationships/hyperlink" Id="rId70" Target="https://learn.microsoft.com/powershell/module/grouppolicy/get-gpinheritance?view=windowsserver2025-ps" TargetMode="External" /><Relationship Type="http://schemas.openxmlformats.org/officeDocument/2006/relationships/hyperlink" Id="rId83" Target="https://learn.microsoft.com/powershell/module/grouppolicy/get-gporeport?view=windowsserver2025-ps" TargetMode="External" /><Relationship Type="http://schemas.openxmlformats.org/officeDocument/2006/relationships/hyperlink" Id="rId85" Target="https://learn.microsoft.com/powershell/module/grouppolicy/get-gppermission?view=windowsserver2025-ps" TargetMode="External" /><Relationship Type="http://schemas.openxmlformats.org/officeDocument/2006/relationships/hyperlink" Id="rId33" Target="https://learn.microsoft.com/powershell/scripting/security/remoting/ps-remoting-second-hop" TargetMode="External" /><Relationship Type="http://schemas.openxmlformats.org/officeDocument/2006/relationships/hyperlink" Id="rId201" Target="https://learn.microsoft.com/powershell/scripting/security/remoting/winrm-security" TargetMode="External" /><Relationship Type="http://schemas.openxmlformats.org/officeDocument/2006/relationships/hyperlink" Id="rId143" Target="https://learn.microsoft.com/security/privileged-access-workstations/privileged-access-security-levels" TargetMode="External" /><Relationship Type="http://schemas.openxmlformats.org/officeDocument/2006/relationships/hyperlink" Id="rId184" Target="https://learn.microsoft.com/services-hub/microsoft-engage-center/health/kb/kb-running-assessments-with-msas" TargetMode="External" /><Relationship Type="http://schemas.openxmlformats.org/officeDocument/2006/relationships/hyperlink" Id="rId209" Target="https://learn.microsoft.com/troubleshoot/entra/entra-id/user-prov-sync/size-limit-exceeded" TargetMode="External" /><Relationship Type="http://schemas.openxmlformats.org/officeDocument/2006/relationships/hyperlink" Id="rId131" Target="https://learn.microsoft.com/troubleshoot/mem/configmgr/discovery/lastlogontimestamp-not-accurate" TargetMode="External" /><Relationship Type="http://schemas.openxmlformats.org/officeDocument/2006/relationships/hyperlink" Id="rId155" Target="https://learn.microsoft.com/troubleshoot/windows-server/active-directory/domain-controller-returns-500-values-ldap-response" TargetMode="External" /><Relationship Type="http://schemas.openxmlformats.org/officeDocument/2006/relationships/hyperlink" Id="rId197" Target="https://learn.microsoft.com/troubleshoot/windows-server/active-directory/specify-server-port-active-directory-powershell-cmdlet" TargetMode="External" /><Relationship Type="http://schemas.openxmlformats.org/officeDocument/2006/relationships/hyperlink" Id="rId119" Target="https://learn.microsoft.com/troubleshoot/windows-server/certificates-and-public-key-infrastructure-pki/enabling-smart-card-logon-third-party-certification-authorities" TargetMode="External" /><Relationship Type="http://schemas.openxmlformats.org/officeDocument/2006/relationships/hyperlink" Id="rId199" Target="https://learn.microsoft.com/troubleshoot/windows-server/networking/service-overview-and-network-port-requirements" TargetMode="External" /><Relationship Type="http://schemas.openxmlformats.org/officeDocument/2006/relationships/hyperlink" Id="rId30" Target="https://learn.microsoft.com/windows-hardware/manufacture/desktop/features-on-demand-non-language-fod" TargetMode="External" /><Relationship Type="http://schemas.openxmlformats.org/officeDocument/2006/relationships/hyperlink" Id="rId28" Target="https://learn.microsoft.com/windows-server/administration/install-remote-server-administration-tools" TargetMode="External" /><Relationship Type="http://schemas.openxmlformats.org/officeDocument/2006/relationships/hyperlink" Id="rId104" Target="https://learn.microsoft.com/windows-server/administration/windows-commands/certutil" TargetMode="External" /><Relationship Type="http://schemas.openxmlformats.org/officeDocument/2006/relationships/hyperlink" Id="rId43" Target="https://learn.microsoft.com/windows-server/administration/windows-commands/netdom-query" TargetMode="External" /><Relationship Type="http://schemas.openxmlformats.org/officeDocument/2006/relationships/hyperlink" Id="rId42" Target="https://learn.microsoft.com/windows-server/administration/windows-commands/netdom-trust" TargetMode="External" /><Relationship Type="http://schemas.openxmlformats.org/officeDocument/2006/relationships/hyperlink" Id="rId56" Target="https://learn.microsoft.com/windows-server/get-started/whats-new-windows-server-2025" TargetMode="External" /><Relationship Type="http://schemas.openxmlformats.org/officeDocument/2006/relationships/hyperlink" Id="rId102" Target="https://learn.microsoft.com/windows-server/identity/ad-cs/monitor-ad-cs-health-enterprise-pki" TargetMode="External" /><Relationship Type="http://schemas.openxmlformats.org/officeDocument/2006/relationships/hyperlink" Id="rId58" Target="https://learn.microsoft.com/windows-server/identity/ad-ds/active-directory-functional-levels" TargetMode="External" /><Relationship Type="http://schemas.openxmlformats.org/officeDocument/2006/relationships/hyperlink" Id="rId150" Target="https://learn.microsoft.com/windows-server/identity/ad-ds/manage/delegated-managed-service-accounts/delegated-managed-service-accounts-overview" TargetMode="External" /><Relationship Type="http://schemas.openxmlformats.org/officeDocument/2006/relationships/hyperlink" Id="rId152" Target="https://learn.microsoft.com/windows-server/identity/ad-ds/manage/group-managed-service-accounts/group-managed-service-accounts/manage-group-managed-service-accounts" TargetMode="External" /><Relationship Type="http://schemas.openxmlformats.org/officeDocument/2006/relationships/hyperlink" Id="rId74" Target="https://learn.microsoft.com/windows-server/identity/ad-ds/manage/group-policy/group-policy-processing" TargetMode="External" /><Relationship Type="http://schemas.openxmlformats.org/officeDocument/2006/relationships/hyperlink" Id="rId72" Target="https://learn.microsoft.com/windows-server/identity/ad-ds/manage/group-policy/group-policy-scope" TargetMode="External" /><Relationship Type="http://schemas.openxmlformats.org/officeDocument/2006/relationships/hyperlink" Id="rId51" Target="https://learn.microsoft.com/windows-server/identity/ad-ds/manage/manage-fsmo-roles" TargetMode="External" /><Relationship Type="http://schemas.openxmlformats.org/officeDocument/2006/relationships/hyperlink" Id="rId48" Target="https://learn.microsoft.com/windows-server/identity/ad-ds/manage/understand-fsmo-roles" TargetMode="External" /><Relationship Type="http://schemas.openxmlformats.org/officeDocument/2006/relationships/hyperlink" Id="rId157" Target="https://learn.microsoft.com/windows-server/identity/ad-ds/plan/active-directory-domain-services-maximum-limits" TargetMode="External" /><Relationship Type="http://schemas.openxmlformats.org/officeDocument/2006/relationships/hyperlink" Id="rId60" Target="https://learn.microsoft.com/windows-server/identity/ad-ds/plan/identifying-your-functional-level-upgrade" TargetMode="External" /><Relationship Type="http://schemas.openxmlformats.org/officeDocument/2006/relationships/hyperlink" Id="rId62" Target="https://learn.microsoft.com/windows-server/identity/ad-ds/plan/raise-domain-forest-functional-levels" TargetMode="External" /><Relationship Type="http://schemas.openxmlformats.org/officeDocument/2006/relationships/hyperlink" Id="rId145" Target="https://learn.microsoft.com/windows-server/identity/ad-ds/plan/security-best-practices/appendix-c--protected-accounts-and-groups-in-active-directory" TargetMode="External" /><Relationship Type="http://schemas.openxmlformats.org/officeDocument/2006/relationships/hyperlink" Id="rId147" Target="https://learn.microsoft.com/windows-server/identity/ad-ds/plan/security-best-practices/reducing-the-active-directory-attack-surface" TargetMode="External" /><Relationship Type="http://schemas.openxmlformats.org/officeDocument/2006/relationships/hyperlink" Id="rId97" Target="https://learn.microsoft.com/windows-server/networking/dns/configure-aging-scavenging" TargetMode="External" /><Relationship Type="http://schemas.openxmlformats.org/officeDocument/2006/relationships/hyperlink" Id="rId136" Target="https://learn.microsoft.com/windows-server/security/kerberos/kerberos-constrained-delegation-overview" TargetMode="External" /><Relationship Type="http://schemas.openxmlformats.org/officeDocument/2006/relationships/hyperlink" Id="rId25" Target="https://learn.microsoft.com/windows/release-health/windows-server-release-info" TargetMode="External" /><Relationship Type="http://schemas.openxmlformats.org/officeDocument/2006/relationships/hyperlink" Id="rId26" Target="https://learn.microsoft.com/windows/release-health/windows11-release-information" TargetMode="External" /><Relationship Type="http://schemas.openxmlformats.org/officeDocument/2006/relationships/hyperlink" Id="rId130" Target="https://learn.microsoft.com/windows/win32/adschema/a-lastlogontimestamp" TargetMode="External" /><Relationship Type="http://schemas.openxmlformats.org/officeDocument/2006/relationships/hyperlink" Id="rId117" Target="https://learn.microsoft.com/windows/win32/api/certenroll/ne-certenroll-x509certificatetemplateenrollmentflag" TargetMode="External" /><Relationship Type="http://schemas.openxmlformats.org/officeDocument/2006/relationships/hyperlink" Id="rId115" Target="https://learn.microsoft.com/windows/win32/api/certenroll/ne-certenroll-x509certificatetemplatesubjectnameflag" TargetMode="External" /><Relationship Type="http://schemas.openxmlformats.org/officeDocument/2006/relationships/hyperlink" Id="rId207" Target="https://learn.microsoft.com/windows/win32/winrm/installation-and-configuration-for-windows-remote-management" TargetMode="External" /><Relationship Type="http://schemas.openxmlformats.org/officeDocument/2006/relationships/hyperlink" Id="rId35" Target="https://www.pkisolutions.com/tools/pspki/" TargetMode="External" /><Relationship Type="http://schemas.openxmlformats.org/officeDocument/2006/relationships/hyperlink" Id="rId37" Target="https://www.powershellgallery.com/packages/PSPKI" TargetMode="External" /><Relationship Type="http://schemas.openxmlformats.org/officeDocument/2006/relationships/hyperlink" Id="rId121" Target="https://www.rfc-editor.org/rfc/rfc4556" TargetMode="External" /><Relationship Type="http://schemas.openxmlformats.org/officeDocument/2006/relationships/hyperlink" Id="rId123" Target="https://www.rfc-editor.org/rfc/rfc5280" TargetMode="External" /><Relationship Type="http://schemas.openxmlformats.org/officeDocument/2006/relationships/hyperlink" Id="rId21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Assessing the Forest</dc:title>
  <dc:creator/>
  <dc:description>The full forest assessment: prerequisites, topology and operations master discovery, OU and delegation extraction, GPO, DNS and AD CS analysis, computer, user, group and trust inventories, and the pipeline that commits every run to a versioned evidence repository.</dc:description>
  <cp:keywords/>
  <dcterms:created xsi:type="dcterms:W3CDTF">2026-10-20T23:25:03Z</dcterms:created>
  <dcterms:modified xsi:type="dcterms:W3CDTF">2026-10-20T23:25:03Z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