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02 — Identity &amp; Directory</w:t>
      </w:r>
    </w:p>
    <w:p>
      <w:pPr>
        <w:pStyle w:val="Subtitle"/>
      </w:pPr>
      <w:r>
        <w:t xml:space="preserve">Active Directory to Entra ID: why identity matters, what changes, who owns it, and how to do 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0" w:name="X961f7b55fa64a79c4bc533e3a4547690a2ff8df"/>
    <w:p>
      <w:pPr>
        <w:pStyle w:val="Heading1"/>
      </w:pPr>
      <w:r>
        <w:t xml:space="preserve">Book 02 — Identity &amp; Directory: Active Directory to Entra ID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consolidates twenty-two earlier workbook pages on identity and directory modernization (whitepapers, operational guides, reference architecture, learning pages and framing case studies) into one ordered book. Every external claim was checked against a primary source on October 20, 2026 and carries a footnote. The earlier pages are kept in the repository’s</w:t>
            </w:r>
            <w:r>
              <w:t xml:space="preserve"> </w:t>
            </w:r>
            <w:hyperlink r:id="rId12">
              <w:r>
                <w:rPr>
                  <w:rStyle w:val="VerbatimChar"/>
                </w:rPr>
                <w:t xml:space="preserve">archive/b02-identity/</w:t>
              </w:r>
            </w:hyperlink>
            <w:r>
              <w:t xml:space="preserve"> </w:t>
            </w:r>
            <w:r>
              <w:t xml:space="preserve">folder, and their old addresses forward to the chapters that replaced them.</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b02-identity-bundle.docx</w:t>
              </w:r>
            </w:hyperlink>
            <w:r>
              <w:t xml:space="preserve">: the whole book as one Word document, regenerated on every site deploy.</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presentations/b02-identity/</w:t>
              </w:r>
            </w:hyperlink>
            <w:r>
              <w:t xml:space="preserve">.</w:t>
            </w:r>
          </w:p>
          <w:p/>
        </w:tc>
      </w:tr>
    </w:tbl>
    <w:p>
      <w:pPr>
        <w:pStyle w:val="BodyText"/>
      </w:pPr>
      <w:r>
        <w:t xml:space="preserve">Every access decision in a modern federal estate starts with a question about identity: who is this, is the claim about them still true, and what is this device or workload allowed to do? For twenty-five years Active Directory answered those questions inside the network perimeter, and it quietly took on much more: DNS, certificates, Wi-Fi and VPN authentication, file shares, time, application logins, and the organization chart encoded as OUs. Zero Trust moves the decision to the identity provider and evaluates it on every request. Moving from Active Directory to Entra ID is therefore not a directory upgrade. It decides whether every later control works.</w:t>
      </w:r>
    </w:p>
    <w:bookmarkStart w:id="32"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does identity matter, and why can’t AD simply be lifted into the cloud?</w:t>
            </w:r>
          </w:p>
        </w:tc>
        <w:tc>
          <w:tcPr/>
          <w:p>
            <w:pPr>
              <w:pStyle w:val="Compact"/>
            </w:pPr>
            <w:hyperlink r:id="rId18">
              <w:r>
                <w:rPr>
                  <w:rStyle w:val="Hyperlink"/>
                </w:rPr>
                <w:t xml:space="preserve">01</w:t>
              </w:r>
            </w:hyperlink>
            <w:r>
              <w:t xml:space="preserve">,</w:t>
            </w:r>
            <w:r>
              <w:t xml:space="preserve"> </w:t>
            </w:r>
            <w:hyperlink r:id="rId19">
              <w:r>
                <w:rPr>
                  <w:rStyle w:val="Hyperlink"/>
                </w:rPr>
                <w:t xml:space="preserve">02</w:t>
              </w:r>
            </w:hyperlink>
          </w:p>
        </w:tc>
      </w:tr>
      <w:tr>
        <w:tc>
          <w:tcPr/>
          <w:p>
            <w:pPr>
              <w:pStyle w:val="Compact"/>
            </w:pPr>
            <w:r>
              <w:rPr>
                <w:b/>
                <w:bCs/>
              </w:rPr>
              <w:t xml:space="preserve">What</w:t>
            </w:r>
          </w:p>
        </w:tc>
        <w:tc>
          <w:tcPr/>
          <w:p>
            <w:pPr>
              <w:pStyle w:val="Compact"/>
            </w:pPr>
            <w:r>
              <w:t xml:space="preserve">What actually changes: the concepts, the hidden dependencies, the delegation model</w:t>
            </w:r>
          </w:p>
        </w:tc>
        <w:tc>
          <w:tcPr/>
          <w:p>
            <w:pPr>
              <w:pStyle w:val="Compact"/>
            </w:pPr>
            <w:hyperlink r:id="rId20">
              <w:r>
                <w:rPr>
                  <w:rStyle w:val="Hyperlink"/>
                </w:rPr>
                <w:t xml:space="preserve">03</w:t>
              </w:r>
            </w:hyperlink>
            <w:r>
              <w:t xml:space="preserve">,</w:t>
            </w:r>
            <w:r>
              <w:t xml:space="preserve"> </w:t>
            </w:r>
            <w:hyperlink r:id="rId21">
              <w:r>
                <w:rPr>
                  <w:rStyle w:val="Hyperlink"/>
                </w:rPr>
                <w:t xml:space="preserve">04</w:t>
              </w:r>
            </w:hyperlink>
            <w:r>
              <w:t xml:space="preserve">,</w:t>
            </w:r>
            <w:r>
              <w:t xml:space="preserve"> </w:t>
            </w:r>
            <w:hyperlink r:id="rId22">
              <w:r>
                <w:rPr>
                  <w:rStyle w:val="Hyperlink"/>
                </w:rPr>
                <w:t xml:space="preserve">05</w:t>
              </w:r>
            </w:hyperlink>
          </w:p>
        </w:tc>
      </w:tr>
      <w:tr>
        <w:tc>
          <w:tcPr/>
          <w:p>
            <w:pPr>
              <w:pStyle w:val="Compact"/>
            </w:pPr>
            <w:r>
              <w:rPr>
                <w:b/>
                <w:bCs/>
              </w:rPr>
              <w:t xml:space="preserve">Who</w:t>
            </w:r>
          </w:p>
        </w:tc>
        <w:tc>
          <w:tcPr/>
          <w:p>
            <w:pPr>
              <w:pStyle w:val="Compact"/>
            </w:pPr>
            <w:r>
              <w:t xml:space="preserve">Who decides, who does the work, and which tools do what</w:t>
            </w:r>
          </w:p>
        </w:tc>
        <w:tc>
          <w:tcPr/>
          <w:p>
            <w:pPr>
              <w:pStyle w:val="Compact"/>
            </w:pPr>
            <w:hyperlink r:id="rId23">
              <w:r>
                <w:rPr>
                  <w:rStyle w:val="Hyperlink"/>
                </w:rPr>
                <w:t xml:space="preserve">06</w:t>
              </w:r>
            </w:hyperlink>
          </w:p>
        </w:tc>
      </w:tr>
      <w:tr>
        <w:tc>
          <w:tcPr/>
          <w:p>
            <w:pPr>
              <w:pStyle w:val="Compact"/>
            </w:pPr>
            <w:r>
              <w:rPr>
                <w:b/>
                <w:bCs/>
              </w:rPr>
              <w:t xml:space="preserve">How</w:t>
            </w:r>
          </w:p>
        </w:tc>
        <w:tc>
          <w:tcPr/>
          <w:p>
            <w:pPr>
              <w:pStyle w:val="Compact"/>
            </w:pPr>
            <w:r>
              <w:t xml:space="preserve">Discover, assess, build the target, migrate and govern, with a reference deployment</w:t>
            </w:r>
          </w:p>
        </w:tc>
        <w:tc>
          <w:tcPr/>
          <w:p>
            <w:pPr>
              <w:pStyle w:val="Compact"/>
            </w:pPr>
            <w:hyperlink r:id="rId24">
              <w:r>
                <w:rPr>
                  <w:rStyle w:val="Hyperlink"/>
                </w:rPr>
                <w:t xml:space="preserve">07</w:t>
              </w:r>
            </w:hyperlink>
            <w:r>
              <w:t xml:space="preserve">,</w:t>
            </w:r>
            <w:r>
              <w:t xml:space="preserve"> </w:t>
            </w:r>
            <w:hyperlink r:id="rId25">
              <w:r>
                <w:rPr>
                  <w:rStyle w:val="Hyperlink"/>
                </w:rPr>
                <w:t xml:space="preserve">08</w:t>
              </w:r>
            </w:hyperlink>
            <w:r>
              <w:t xml:space="preserve">,</w:t>
            </w:r>
            <w:r>
              <w:t xml:space="preserve"> </w:t>
            </w:r>
            <w:hyperlink r:id="rId26">
              <w:r>
                <w:rPr>
                  <w:rStyle w:val="Hyperlink"/>
                </w:rPr>
                <w:t xml:space="preserve">09</w:t>
              </w:r>
            </w:hyperlink>
            <w:r>
              <w:t xml:space="preserve">,</w:t>
            </w:r>
            <w:r>
              <w:t xml:space="preserve"> </w:t>
            </w:r>
            <w:hyperlink r:id="rId27">
              <w:r>
                <w:rPr>
                  <w:rStyle w:val="Hyperlink"/>
                </w:rPr>
                <w:t xml:space="preserve">10</w:t>
              </w:r>
            </w:hyperlink>
            <w:r>
              <w:t xml:space="preserve">,</w:t>
            </w:r>
            <w:r>
              <w:t xml:space="preserve"> </w:t>
            </w:r>
            <w:hyperlink r:id="rId28">
              <w:r>
                <w:rPr>
                  <w:rStyle w:val="Hyperlink"/>
                </w:rPr>
                <w:t xml:space="preserve">11</w:t>
              </w:r>
            </w:hyperlink>
          </w:p>
        </w:tc>
      </w:tr>
    </w:tbl>
    <w:p>
      <w:pPr>
        <w:pStyle w:val="BodyText"/>
      </w:pPr>
      <w:r>
        <w:t xml:space="preserve">Appendices:</w:t>
      </w:r>
      <w:r>
        <w:t xml:space="preserve"> </w:t>
      </w:r>
      <w:hyperlink r:id="rId29">
        <w:r>
          <w:rPr>
            <w:rStyle w:val="Hyperlink"/>
          </w:rPr>
          <w:t xml:space="preserve">A — Federal requirements crosswalk</w:t>
        </w:r>
      </w:hyperlink>
      <w:r>
        <w:t xml:space="preserve"> </w:t>
      </w:r>
      <w:r>
        <w:t xml:space="preserve">·</w:t>
      </w:r>
      <w:r>
        <w:t xml:space="preserve"> </w:t>
      </w:r>
      <w:hyperlink r:id="rId30">
        <w:r>
          <w:rPr>
            <w:rStyle w:val="Hyperlink"/>
          </w:rPr>
          <w:t xml:space="preserve">B — Forest assessment module</w:t>
        </w:r>
      </w:hyperlink>
      <w:r>
        <w:t xml:space="preserve"> </w:t>
      </w:r>
      <w:r>
        <w:t xml:space="preserve">·</w:t>
      </w:r>
      <w:r>
        <w:t xml:space="preserve"> </w:t>
      </w:r>
      <w:hyperlink r:id="rId31">
        <w:r>
          <w:rPr>
            <w:rStyle w:val="Hyperlink"/>
          </w:rPr>
          <w:t xml:space="preserve">C — Identity assessment module</w:t>
        </w:r>
      </w:hyperlink>
    </w:p>
    <w:bookmarkEnd w:id="32"/>
    <w:bookmarkStart w:id="33"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11, then Appendix A.</w:t>
      </w:r>
    </w:p>
    <w:p>
      <w:pPr>
        <w:pStyle w:val="Compact"/>
        <w:numPr>
          <w:ilvl w:val="0"/>
          <w:numId w:val="1001"/>
        </w:numPr>
      </w:pPr>
      <w:r>
        <w:rPr>
          <w:b/>
          <w:bCs/>
        </w:rPr>
        <w:t xml:space="preserve">Engineers running the work:</w:t>
      </w:r>
      <w:r>
        <w:t xml:space="preserve"> </w:t>
      </w:r>
      <w:r>
        <w:t xml:space="preserve">Chapters 03–05 for the model, then 07–10 with Appendices B and C at hand.</w:t>
      </w:r>
    </w:p>
    <w:bookmarkEnd w:id="33"/>
    <w:bookmarkStart w:id="37" w:name="where-this-book-sits-in-the-workbook"/>
    <w:p>
      <w:pPr>
        <w:pStyle w:val="Heading2"/>
      </w:pPr>
      <w:r>
        <w:t xml:space="preserve">Where this book sits in the workbook</w:t>
      </w:r>
    </w:p>
    <w:p>
      <w:pPr>
        <w:pStyle w:val="FirstParagraph"/>
      </w:pPr>
      <w:r>
        <w:t xml:space="preserve">This is Book 02 of the</w:t>
      </w:r>
      <w:r>
        <w:t xml:space="preserve"> </w:t>
      </w:r>
      <w:hyperlink r:id="rId34">
        <w:r>
          <w:rPr>
            <w:rStyle w:val="Hyperlink"/>
          </w:rPr>
          <w:t xml:space="preserve">Modernization Workbook</w:t>
        </w:r>
      </w:hyperlink>
      <w:r>
        <w:t xml:space="preserve">. The workforce side of identity, with HR as the source of authority, is in</w:t>
      </w:r>
      <w:r>
        <w:t xml:space="preserve"> </w:t>
      </w:r>
      <w:hyperlink r:id="rId35">
        <w:r>
          <w:rPr>
            <w:rStyle w:val="Hyperlink"/>
          </w:rPr>
          <w:t xml:space="preserve">HR-Driven Identity</w:t>
        </w:r>
      </w:hyperlink>
      <w:r>
        <w:t xml:space="preserve">. The SQL Server estate’s move off Windows authentication is in the</w:t>
      </w:r>
      <w:r>
        <w:t xml:space="preserve"> </w:t>
      </w:r>
      <w:hyperlink r:id="rId36">
        <w:r>
          <w:rPr>
            <w:rStyle w:val="Hyperlink"/>
          </w:rPr>
          <w:t xml:space="preserve">SQL Server Identity Transformation</w:t>
        </w:r>
      </w:hyperlink>
      <w:r>
        <w:t xml:space="preserve"> </w:t>
      </w:r>
      <w:r>
        <w:t xml:space="preserve">series.</w:t>
      </w:r>
    </w:p>
    <w:bookmarkEnd w:id="37"/>
    <w:bookmarkStart w:id="39" w:name="chapters"/>
    <w:p>
      <w:pPr>
        <w:pStyle w:val="Heading2"/>
      </w:pPr>
      <w:r>
        <w:t xml:space="preserve">Chapters</w:t>
      </w:r>
    </w:p>
    <w:bookmarkStart w:id="38" w:name="chapters"/>
    <w:bookmarkEnd w:id="38"/>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2-identity-bundle.docx" TargetMode="External" /><Relationship Type="http://schemas.openxmlformats.org/officeDocument/2006/relationships/hyperlink" Id="rId35" Target="../b03-hr-identity/index.md" TargetMode="External" /><Relationship Type="http://schemas.openxmlformats.org/officeDocument/2006/relationships/hyperlink" Id="rId36" Target="../b06-data-platform/index.md" TargetMode="External" /><Relationship Type="http://schemas.openxmlformats.org/officeDocument/2006/relationships/hyperlink" Id="rId34" Target="../index.md" TargetMode="External" /><Relationship Type="http://schemas.openxmlformats.org/officeDocument/2006/relationships/hyperlink" Id="rId18" Target="01-why-identity-matters.md" TargetMode="External" /><Relationship Type="http://schemas.openxmlformats.org/officeDocument/2006/relationships/hyperlink" Id="rId19" Target="02-the-structural-problem.md" TargetMode="External" /><Relationship Type="http://schemas.openxmlformats.org/officeDocument/2006/relationships/hyperlink" Id="rId20" Target="03-ad-and-entra-side-by-side.md" TargetMode="External" /><Relationship Type="http://schemas.openxmlformats.org/officeDocument/2006/relationships/hyperlink" Id="rId21" Target="04-the-hidden-migration-surface.md" TargetMode="External" /><Relationship Type="http://schemas.openxmlformats.org/officeDocument/2006/relationships/hyperlink" Id="rId22" Target="05-delegation-without-ous.md" TargetMode="External" /><Relationship Type="http://schemas.openxmlformats.org/officeDocument/2006/relationships/hyperlink" Id="rId23" Target="06-who-owns-the-migration.md" TargetMode="External" /><Relationship Type="http://schemas.openxmlformats.org/officeDocument/2006/relationships/hyperlink" Id="rId24" Target="07-read-only-discovery.md" TargetMode="External" /><Relationship Type="http://schemas.openxmlformats.org/officeDocument/2006/relationships/hyperlink" Id="rId25" Target="08-assessing-the-forest.md" TargetMode="External" /><Relationship Type="http://schemas.openxmlformats.org/officeDocument/2006/relationships/hyperlink" Id="rId26" Target="09-building-the-entra-target.md" TargetMode="External" /><Relationship Type="http://schemas.openxmlformats.org/officeDocument/2006/relationships/hyperlink" Id="rId27" Target="10-migrating-and-governing.md" TargetMode="External" /><Relationship Type="http://schemas.openxmlformats.org/officeDocument/2006/relationships/hyperlink" Id="rId28" Target="11-reference-deployment.md" TargetMode="External" /><Relationship Type="http://schemas.openxmlformats.org/officeDocument/2006/relationships/hyperlink" Id="rId29" Target="appendix-a-federal-requirements-crosswalk.md" TargetMode="External" /><Relationship Type="http://schemas.openxmlformats.org/officeDocument/2006/relationships/hyperlink" Id="rId30" Target="appendix-b-forest-assessment-module.md" TargetMode="External" /><Relationship Type="http://schemas.openxmlformats.org/officeDocument/2006/relationships/hyperlink" Id="rId31" Target="appendix-c-identity-assessment-module.md" TargetMode="External" /><Relationship Type="http://schemas.openxmlformats.org/officeDocument/2006/relationships/hyperlink" Id="rId12" Target="https://github.com/WhalerMike/modernization-workbook/tree/main/archive/b02-identity" TargetMode="External" /><Relationship Type="http://schemas.openxmlformats.org/officeDocument/2006/relationships/hyperlink" Id="rId17" Target="https://github.com/WhalerMike/modernization-workbook/tree/main/presentations/b02-identity"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2-identity-bundle.docx" TargetMode="External" /><Relationship Type="http://schemas.openxmlformats.org/officeDocument/2006/relationships/hyperlink" Id="rId35" Target="../b03-hr-identity/index.md" TargetMode="External" /><Relationship Type="http://schemas.openxmlformats.org/officeDocument/2006/relationships/hyperlink" Id="rId36" Target="../b06-data-platform/index.md" TargetMode="External" /><Relationship Type="http://schemas.openxmlformats.org/officeDocument/2006/relationships/hyperlink" Id="rId34" Target="../index.md" TargetMode="External" /><Relationship Type="http://schemas.openxmlformats.org/officeDocument/2006/relationships/hyperlink" Id="rId18" Target="01-why-identity-matters.md" TargetMode="External" /><Relationship Type="http://schemas.openxmlformats.org/officeDocument/2006/relationships/hyperlink" Id="rId19" Target="02-the-structural-problem.md" TargetMode="External" /><Relationship Type="http://schemas.openxmlformats.org/officeDocument/2006/relationships/hyperlink" Id="rId20" Target="03-ad-and-entra-side-by-side.md" TargetMode="External" /><Relationship Type="http://schemas.openxmlformats.org/officeDocument/2006/relationships/hyperlink" Id="rId21" Target="04-the-hidden-migration-surface.md" TargetMode="External" /><Relationship Type="http://schemas.openxmlformats.org/officeDocument/2006/relationships/hyperlink" Id="rId22" Target="05-delegation-without-ous.md" TargetMode="External" /><Relationship Type="http://schemas.openxmlformats.org/officeDocument/2006/relationships/hyperlink" Id="rId23" Target="06-who-owns-the-migration.md" TargetMode="External" /><Relationship Type="http://schemas.openxmlformats.org/officeDocument/2006/relationships/hyperlink" Id="rId24" Target="07-read-only-discovery.md" TargetMode="External" /><Relationship Type="http://schemas.openxmlformats.org/officeDocument/2006/relationships/hyperlink" Id="rId25" Target="08-assessing-the-forest.md" TargetMode="External" /><Relationship Type="http://schemas.openxmlformats.org/officeDocument/2006/relationships/hyperlink" Id="rId26" Target="09-building-the-entra-target.md" TargetMode="External" /><Relationship Type="http://schemas.openxmlformats.org/officeDocument/2006/relationships/hyperlink" Id="rId27" Target="10-migrating-and-governing.md" TargetMode="External" /><Relationship Type="http://schemas.openxmlformats.org/officeDocument/2006/relationships/hyperlink" Id="rId28" Target="11-reference-deployment.md" TargetMode="External" /><Relationship Type="http://schemas.openxmlformats.org/officeDocument/2006/relationships/hyperlink" Id="rId29" Target="appendix-a-federal-requirements-crosswalk.md" TargetMode="External" /><Relationship Type="http://schemas.openxmlformats.org/officeDocument/2006/relationships/hyperlink" Id="rId30" Target="appendix-b-forest-assessment-module.md" TargetMode="External" /><Relationship Type="http://schemas.openxmlformats.org/officeDocument/2006/relationships/hyperlink" Id="rId31" Target="appendix-c-identity-assessment-module.md" TargetMode="External" /><Relationship Type="http://schemas.openxmlformats.org/officeDocument/2006/relationships/hyperlink" Id="rId12" Target="https://github.com/WhalerMike/modernization-workbook/tree/main/archive/b02-identity" TargetMode="External" /><Relationship Type="http://schemas.openxmlformats.org/officeDocument/2006/relationships/hyperlink" Id="rId17" Target="https://github.com/WhalerMike/modernization-workbook/tree/main/presentations/b02-ident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02 — Identity &amp; Directory</dc:title>
  <dc:creator/>
  <dc:description>Book 02 of the Modernization Workbook: why identity is the control plane of a modern federal estate, how Active Directory and Entra ID differ, the hidden dependency surface and delegation model, who owns which decisions, and the discovery, assessment, build and migration steps, with a reference deployment and federal requirements crosswalk.</dc:description>
  <cp:keywords/>
  <dcterms:created xsi:type="dcterms:W3CDTF">2026-10-20T23:25:12Z</dcterms:created>
  <dcterms:modified xsi:type="dcterms:W3CDTF">2026-10-20T23:25:12Z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section-landing</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Active Directory to Entra ID: why identity matters, what changes, who owns it, and how to do it</vt:lpwstr>
  </property>
  <property fmtid="{D5CDD505-2E9C-101B-9397-08002B2CF9AE}" pid="15" name="tiers_adopted">
    <vt:lpwstr/>
  </property>
  <property fmtid="{D5CDD505-2E9C-101B-9397-08002B2CF9AE}" pid="16" name="toc-title">
    <vt:lpwstr>Table of contents</vt:lpwstr>
  </property>
</Properties>
</file>