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svg" ContentType="image/svg+xml"/>
  <Override PartName="/word/media/rId31.svg" ContentType="image/svg+xml"/>
  <Override PartName="/word/media/rId9.png" ContentType="image/png"/>
  <Override PartName="/word/media/rId5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Attribute Authority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8" w:name="chapter-04-attribute-authority"/>
    <w:p>
      <w:pPr>
        <w:pStyle w:val="Heading1"/>
      </w:pPr>
      <w:r>
        <w:t xml:space="preserve">Chapter 04 — Attribute Authority</w:t>
      </w:r>
    </w:p>
    <w:p>
      <w:pPr>
        <w:pStyle w:val="FirstParagraph"/>
      </w:pPr>
      <w:r>
        <w:rPr>
          <w:i/>
          <w:iCs/>
        </w:rPr>
        <w:t xml:space="preserve">Every attribute has exactly one master. The rest of the series depends on writing that down.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four record families only the HR system can originate. The split between system of record and identity provider. Why effective dating makes proactive automation possible. The attribute authority map. The identifier layers and the identifier decision. Worker type as the attribute policy hangs from. Privacy: the disclosure basis for identity’s use of personnel records. The operating rules.</w:t>
            </w:r>
          </w:p>
          <w:p/>
        </w:tc>
      </w:tr>
    </w:tbl>
    <w:bookmarkStart w:id="20" w:name="Xa1873eb4a1167556c476690d08b815773990656"/>
    <w:p>
      <w:pPr>
        <w:pStyle w:val="Heading2"/>
      </w:pPr>
      <w:r>
        <w:t xml:space="preserve">What a human capital system actually owns</w:t>
      </w:r>
    </w:p>
    <w:p>
      <w:pPr>
        <w:pStyle w:val="FirstParagraph"/>
      </w:pPr>
      <w:r>
        <w:t xml:space="preserve">The human capital system of record — Oracle Fusion Cloud HCM for agencies on Federal HR 2.0, delivered as SaaS under the provider’s own FedRAMP authorization</w:t>
      </w:r>
      <w:r>
        <w:rPr>
          <w:rStyle w:val="FootnoteReference"/>
        </w:rPr>
        <w:footnoteReference w:id="12"/>
      </w:r>
      <w:r>
        <w:rPr>
          <w:rStyle w:val="FootnoteReference"/>
        </w:rPr>
        <w:footnoteReference w:id="14"/>
      </w:r>
      <w:r>
        <w:t xml:space="preserve"> </w:t>
      </w:r>
      <w:r>
        <w:t xml:space="preserve">— isn’t</w:t>
      </w:r>
      <w:r>
        <w:t xml:space="preserve"> </w:t>
      </w:r>
      <w:r>
        <w:t xml:space="preserve">“the payroll system.”</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r>
              <w:rPr>
                <w:rStyle w:val="FootnoteReference"/>
              </w:rPr>
              <w:footnoteReference w:id="16"/>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r>
              <w:rPr>
                <w:rStyle w:val="FootnoteReference"/>
              </w:rPr>
              <w:footnoteReference w:id="18"/>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20"/>
    <w:bookmarkStart w:id="21" w:name="X17bf277d61e417a8e524d3b739426d6661fbac8"/>
    <w:p>
      <w:pPr>
        <w:pStyle w:val="Heading2"/>
      </w:pPr>
      <w:r>
        <w:t xml:space="preserve">System of record versus identity provider</w:t>
      </w:r>
    </w:p>
    <w:p>
      <w:pPr>
        <w:pStyle w:val="FirstParagraph"/>
      </w:pPr>
      <w:r>
        <w:t xml:space="preserve">Naming the HCM as the source of authority for identity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bookmarkEnd w:id="21"/>
    <w:bookmarkStart w:id="24" w:name="effective-dating-truth-with-a-timeline"/>
    <w:p>
      <w:pPr>
        <w:pStyle w:val="Heading2"/>
      </w:pPr>
      <w:r>
        <w:t xml:space="preserve">Effective dating: truth with a timeline</w:t>
      </w:r>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 Oracle defines its date-effective objects the same way: each record has effective start and end dates, one record is current, and future changes can be entered ahead of time.</w:t>
      </w:r>
      <w:r>
        <w:rPr>
          <w:rStyle w:val="FootnoteReference"/>
        </w:rPr>
        <w:footnoteReference w:id="22"/>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24"/>
    <w:bookmarkStart w:id="28" w:name="authoritative-versus-derived-attributes"/>
    <w:p>
      <w:pPr>
        <w:pStyle w:val="Heading2"/>
      </w:pPr>
      <w:r>
        <w:t xml:space="preserve">Authoritative versus derived attributes</w:t>
      </w:r>
    </w:p>
    <w:p>
      <w:pPr>
        <w:pStyle w:val="FirstParagraph"/>
      </w:pPr>
      <w:r>
        <w:t xml:space="preserve">The discipline that makes the source of authority operable is a written, governed answer to one question per attribute:</w:t>
      </w:r>
      <w:r>
        <w:t xml:space="preserve"> </w:t>
      </w:r>
      <w:r>
        <w:rPr>
          <w:i/>
          <w:iCs/>
        </w:rPr>
        <w:t xml:space="preserve">which system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CaptionedFigure"/>
      </w:pPr>
      <w:r>
        <w:drawing>
          <wp:inline>
            <wp:extent cx="5334000" cy="2254207"/>
            <wp:effectExtent b="0" l="0" r="0" t="0"/>
            <wp:docPr descr="The authority map: the HR system of record, the identity platform, and card management and PKI each own one class of fact; consumers only derive." title="" id="26" name="Picture"/>
            <a:graphic>
              <a:graphicData uri="http://schemas.openxmlformats.org/drawingml/2006/picture">
                <pic:pic>
                  <pic:nvPicPr>
                    <pic:cNvPr descr="../../images/diagrams/b03-hr-identity/svg/ch04-authority-map.svg" id="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bwMode="auto">
                    <a:xfrm>
                      <a:off x="0" y="0"/>
                      <a:ext cx="5334000" cy="2254207"/>
                    </a:xfrm>
                    <a:prstGeom prst="rect">
                      <a:avLst/>
                    </a:prstGeom>
                    <a:noFill/>
                    <a:ln w="9525">
                      <a:noFill/>
                      <a:headEnd/>
                      <a:tailEnd/>
                    </a:ln>
                  </pic:spPr>
                </pic:pic>
              </a:graphicData>
            </a:graphic>
          </wp:inline>
        </w:drawing>
      </w:r>
    </w:p>
    <w:p>
      <w:pPr>
        <w:pStyle w:val="ImageCaption"/>
      </w:pPr>
      <w:r>
        <w:t xml:space="preserve">The authority map: the HR system of record, the identity platform, and card management and PKI each own one class of fact; consumers only derive.</w:t>
      </w:r>
    </w:p>
    <w:p>
      <w:pPr>
        <w:pStyle w:val="TableCaption"/>
      </w:pPr>
      <w:r>
        <w:t xml:space="preserve">The attribute authority map — which system owns which fact</w:t>
      </w:r>
    </w:p>
    <w:tbl>
      <w:tblPr>
        <w:tblStyle w:val="Table"/>
        <w:tblW w:type="pct" w:w="5000"/>
        <w:tblLayout w:type="fixed"/>
        <w:tblLook w:firstRow="1" w:lastRow="0" w:firstColumn="0" w:lastColumn="0" w:noHBand="0" w:noVBand="0" w:val="0020"/>
        <w:tblCaption w:val="The attribute authority map — which system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system</w:t>
            </w:r>
          </w:p>
        </w:tc>
        <w:tc>
          <w:tcPr/>
          <w:p>
            <w:pPr>
              <w:pStyle w:val="Compact"/>
            </w:pPr>
            <w:r>
              <w:t xml:space="preserve">Derived consumers</w:t>
            </w:r>
          </w:p>
        </w:tc>
      </w:tr>
      <w:tr>
        <w:tc>
          <w:tcPr/>
          <w:p>
            <w:pPr>
              <w:pStyle w:val="Compact"/>
            </w:pPr>
            <w:r>
              <w:t xml:space="preserve">Person and affiliation identifiers (enterprise person key; source person number, projected to</w:t>
            </w:r>
            <w:r>
              <w:t xml:space="preserve"> </w:t>
            </w:r>
            <w:r>
              <w:rPr>
                <w:rStyle w:val="VerbatimChar"/>
              </w:rPr>
              <w:t xml:space="preserve">employeeId</w:t>
            </w:r>
            <w:r>
              <w:t xml:space="preserve">)</w:t>
            </w:r>
          </w:p>
        </w:tc>
        <w:tc>
          <w:tcPr/>
          <w:p>
            <w:pPr>
              <w:pStyle w:val="Compact"/>
            </w:pPr>
            <w:r>
              <w:t xml:space="preserve">HR system of record for the source keys; the agency’s identifier decision for the enterprise person key</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Population scoping, expected-location analysis, physical-access integration, E911 records, and exception routing; current sign-in signals remain the enforcement input for network-location policy</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and certificates</w:t>
            </w:r>
          </w:p>
        </w:tc>
        <w:tc>
          <w:tcPr/>
          <w:p>
            <w:pPr>
              <w:pStyle w:val="Compact"/>
            </w:pPr>
            <w:r>
              <w:t xml:space="preserve">Device management and PKI (Chapter 09)</w:t>
            </w:r>
          </w:p>
        </w:tc>
        <w:tc>
          <w:tcPr/>
          <w:p>
            <w:pPr>
              <w:pStyle w:val="Compact"/>
            </w:pPr>
            <w:r>
              <w:t xml:space="preserve">Network admission, workload identity, TLS</w:t>
            </w:r>
          </w:p>
        </w:tc>
      </w:tr>
      <w:tr>
        <w:tc>
          <w:tcPr/>
          <w:p>
            <w:pPr>
              <w:pStyle w:val="Compact"/>
            </w:pPr>
            <w:r>
              <w:t xml:space="preserve">Credential strength, token claims format</w:t>
            </w:r>
          </w:p>
        </w:tc>
        <w:tc>
          <w:tcPr/>
          <w:p>
            <w:pPr>
              <w:pStyle w:val="Compact"/>
            </w:pPr>
            <w:r>
              <w:t xml:space="preserve">Identity platform</w:t>
            </w:r>
          </w:p>
        </w:tc>
        <w:tc>
          <w:tcPr/>
          <w:p>
            <w:pPr>
              <w:pStyle w:val="Compact"/>
            </w:pPr>
            <w:r>
              <w:t xml:space="preserve">Conditional Access, applications</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(Chapter 02).</w:t>
      </w:r>
    </w:p>
    <w:bookmarkEnd w:id="28"/>
    <w:bookmarkStart w:id="39" w:name="one-person-layered-identifiers"/>
    <w:p>
      <w:pPr>
        <w:pStyle w:val="Heading2"/>
      </w:pPr>
      <w:r>
        <w:t xml:space="preserve">One person, layered identifiers</w:t>
      </w:r>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w:t>
      </w:r>
      <w:r>
        <w:rPr>
          <w:rStyle w:val="FootnoteReference"/>
        </w:rPr>
        <w:footnoteReference w:id="29"/>
      </w:r>
      <w:r>
        <w:t xml:space="preserve"> </w:t>
      </w:r>
      <w:r>
        <w:t xml:space="preserve">The enterprise discipline this architecture implements is stricter and simpler:</w:t>
      </w:r>
      <w:r>
        <w:t xml:space="preserve"> </w:t>
      </w:r>
      <w:r>
        <w:rPr>
          <w:b/>
          <w:bCs/>
        </w:rPr>
        <w:t xml:space="preserve">one governed person record, explicit affiliation records, and stable correlation keys appropriate to each lifecycle.</w:t>
      </w:r>
    </w:p>
    <w:p>
      <w:pPr>
        <w:pStyle w:val="BodyText"/>
      </w:pPr>
      <w:r>
        <w:t xml:space="preserve">That takes more than one identifier, because each layer has its own lifecycle:</w:t>
      </w:r>
    </w:p>
    <w:p>
      <w:pPr>
        <w:pStyle w:val="CaptionedFigure"/>
      </w:pPr>
      <w:r>
        <w:drawing>
          <wp:inline>
            <wp:extent cx="5334000" cy="1621916"/>
            <wp:effectExtent b="0" l="0" r="0" t="0"/>
            <wp:docPr descr="Layered identifiers: one enterprise person key the agency controls, with source, affiliation, directory and credential keys mapped to it." title="" id="32" name="Picture"/>
            <a:graphic>
              <a:graphicData uri="http://schemas.openxmlformats.org/drawingml/2006/picture">
                <pic:pic>
                  <pic:nvPicPr>
                    <pic:cNvPr descr="../../images/diagrams/b03-hr-identity/svg/ch04-identifier-layers.sv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5334000" cy="1621916"/>
                    </a:xfrm>
                    <a:prstGeom prst="rect">
                      <a:avLst/>
                    </a:prstGeom>
                    <a:noFill/>
                    <a:ln w="9525">
                      <a:noFill/>
                      <a:headEnd/>
                      <a:tailEnd/>
                    </a:ln>
                  </pic:spPr>
                </pic:pic>
              </a:graphicData>
            </a:graphic>
          </wp:inline>
        </w:drawing>
      </w:r>
    </w:p>
    <w:p>
      <w:pPr>
        <w:pStyle w:val="ImageCaption"/>
      </w:pPr>
      <w:r>
        <w:t xml:space="preserve">Layered identifiers: one enterprise person key the agency controls, with source, affiliation, directory and credential keys mapped to it.</w:t>
      </w:r>
    </w:p>
    <w:p>
      <w:pPr>
        <w:pStyle w:val="TableCaption"/>
      </w:pPr>
      <w:r>
        <w:t xml:space="preserve">The identifier layers</w:t>
      </w:r>
    </w:p>
    <w:tbl>
      <w:tblPr>
        <w:tblStyle w:val="Table"/>
        <w:tblW w:type="pct" w:w="5000"/>
        <w:tblLayout w:type="fixed"/>
        <w:tblLook w:firstRow="1" w:lastRow="0" w:firstColumn="0" w:lastColumn="0" w:noHBand="0" w:noVBand="0" w:val="0020"/>
        <w:tblCaption w:val="The identifier layers"/>
      </w:tblPr>
      <w:tblGrid>
        <w:gridCol w:w="1980"/>
        <w:gridCol w:w="1980"/>
        <w:gridCol w:w="1980"/>
        <w:gridCol w:w="1980"/>
      </w:tblGrid>
      <w:tr>
        <w:trPr>
          <w:tblHeader w:val="on"/>
        </w:trPr>
        <w:tc>
          <w:tcPr/>
          <w:p>
            <w:pPr>
              <w:pStyle w:val="Compact"/>
            </w:pPr>
            <w:r>
              <w:t xml:space="preserve">Key</w:t>
            </w:r>
          </w:p>
        </w:tc>
        <w:tc>
          <w:tcPr/>
          <w:p>
            <w:pPr>
              <w:pStyle w:val="Compact"/>
            </w:pPr>
            <w:r>
              <w:t xml:space="preserve">Identifies</w:t>
            </w:r>
          </w:p>
        </w:tc>
        <w:tc>
          <w:tcPr/>
          <w:p>
            <w:pPr>
              <w:pStyle w:val="Compact"/>
            </w:pPr>
            <w:r>
              <w:t xml:space="preserve">Assigned by</w:t>
            </w:r>
          </w:p>
        </w:tc>
        <w:tc>
          <w:tcPr/>
          <w:p>
            <w:pPr>
              <w:pStyle w:val="Compact"/>
            </w:pPr>
            <w:r>
              <w:t xml:space="preserve">Changes when</w:t>
            </w:r>
          </w:p>
        </w:tc>
      </w:tr>
      <w:tr>
        <w:tc>
          <w:tcPr/>
          <w:p>
            <w:pPr>
              <w:pStyle w:val="Compact"/>
            </w:pPr>
            <w:r>
              <w:t xml:space="preserve">Enterprise person key</w:t>
            </w:r>
          </w:p>
        </w:tc>
        <w:tc>
          <w:tcPr/>
          <w:p>
            <w:pPr>
              <w:pStyle w:val="Compact"/>
            </w:pPr>
            <w:r>
              <w:t xml:space="preserve">The person, across every affiliation</w:t>
            </w:r>
          </w:p>
        </w:tc>
        <w:tc>
          <w:tcPr/>
          <w:p>
            <w:pPr>
              <w:pStyle w:val="Compact"/>
            </w:pPr>
            <w:r>
              <w:t xml:space="preserve">The agency’s identifier decision (below)</w:t>
            </w:r>
          </w:p>
        </w:tc>
        <w:tc>
          <w:tcPr/>
          <w:p>
            <w:pPr>
              <w:pStyle w:val="Compact"/>
            </w:pPr>
            <w:r>
              <w:t xml:space="preserve">Never, once assigned</w:t>
            </w:r>
          </w:p>
        </w:tc>
      </w:tr>
      <w:tr>
        <w:tc>
          <w:tcPr/>
          <w:p>
            <w:pPr>
              <w:pStyle w:val="Compact"/>
            </w:pPr>
            <w:r>
              <w:t xml:space="preserve">Source person key (Oracle</w:t>
            </w:r>
            <w:r>
              <w:t xml:space="preserve"> </w:t>
            </w:r>
            <w:r>
              <w:rPr>
                <w:rStyle w:val="VerbatimChar"/>
              </w:rPr>
              <w:t xml:space="preserve">PersonNumber</w:t>
            </w:r>
            <w:r>
              <w:t xml:space="preserve"> </w:t>
            </w:r>
            <w:r>
              <w:t xml:space="preserve">today)</w:t>
            </w:r>
          </w:p>
        </w:tc>
        <w:tc>
          <w:tcPr/>
          <w:p>
            <w:pPr>
              <w:pStyle w:val="Compact"/>
            </w:pPr>
            <w:r>
              <w:t xml:space="preserve">The person in one HR source</w:t>
            </w:r>
          </w:p>
        </w:tc>
        <w:tc>
          <w:tcPr/>
          <w:p>
            <w:pPr>
              <w:pStyle w:val="Compact"/>
            </w:pPr>
            <w:r>
              <w:t xml:space="preserve">The HR system</w:t>
            </w:r>
          </w:p>
        </w:tc>
        <w:tc>
          <w:tcPr/>
          <w:p>
            <w:pPr>
              <w:pStyle w:val="Compact"/>
            </w:pPr>
            <w:r>
              <w:t xml:space="preserve">The source system changes</w:t>
            </w:r>
          </w:p>
        </w:tc>
      </w:tr>
      <w:tr>
        <w:tc>
          <w:tcPr/>
          <w:p>
            <w:pPr>
              <w:pStyle w:val="Compact"/>
            </w:pPr>
            <w:r>
              <w:t xml:space="preserve">Affiliation or assignment key</w:t>
            </w:r>
          </w:p>
        </w:tc>
        <w:tc>
          <w:tcPr/>
          <w:p>
            <w:pPr>
              <w:pStyle w:val="Compact"/>
            </w:pPr>
            <w:r>
              <w:t xml:space="preserve">One employment, contract or appointment</w:t>
            </w:r>
          </w:p>
        </w:tc>
        <w:tc>
          <w:tcPr/>
          <w:p>
            <w:pPr>
              <w:pStyle w:val="Compact"/>
            </w:pPr>
            <w:r>
              <w:t xml:space="preserve">The HR system</w:t>
            </w:r>
          </w:p>
        </w:tc>
        <w:tc>
          <w:tcPr/>
          <w:p>
            <w:pPr>
              <w:pStyle w:val="Compact"/>
            </w:pPr>
            <w:r>
              <w:t xml:space="preserve">A new affiliation begins</w:t>
            </w:r>
          </w:p>
        </w:tc>
      </w:tr>
      <w:tr>
        <w:tc>
          <w:tcPr/>
          <w:p>
            <w:pPr>
              <w:pStyle w:val="Compact"/>
            </w:pPr>
            <w:r>
              <w:t xml:space="preserve">Directory object ID</w:t>
            </w:r>
          </w:p>
        </w:tc>
        <w:tc>
          <w:tcPr/>
          <w:p>
            <w:pPr>
              <w:pStyle w:val="Compact"/>
            </w:pPr>
            <w:r>
              <w:t xml:space="preserve">One account in one directory</w:t>
            </w:r>
          </w:p>
        </w:tc>
        <w:tc>
          <w:tcPr/>
          <w:p>
            <w:pPr>
              <w:pStyle w:val="Compact"/>
            </w:pPr>
            <w:r>
              <w:t xml:space="preserve">The directory</w:t>
            </w:r>
          </w:p>
        </w:tc>
        <w:tc>
          <w:tcPr/>
          <w:p>
            <w:pPr>
              <w:pStyle w:val="Compact"/>
            </w:pPr>
            <w:r>
              <w:t xml:space="preserve">The account is recreated</w:t>
            </w:r>
          </w:p>
        </w:tc>
      </w:tr>
      <w:tr>
        <w:tc>
          <w:tcPr/>
          <w:p>
            <w:pPr>
              <w:pStyle w:val="Compact"/>
            </w:pPr>
            <w:r>
              <w:t xml:space="preserve">Credential identifiers (PIV FASC-N and card UUID, certificate SKI)</w:t>
            </w:r>
          </w:p>
        </w:tc>
        <w:tc>
          <w:tcPr/>
          <w:p>
            <w:pPr>
              <w:pStyle w:val="Compact"/>
            </w:pPr>
            <w:r>
              <w:t xml:space="preserve">One authenticator</w:t>
            </w:r>
          </w:p>
        </w:tc>
        <w:tc>
          <w:tcPr/>
          <w:p>
            <w:pPr>
              <w:pStyle w:val="Compact"/>
            </w:pPr>
            <w:r>
              <w:t xml:space="preserve">The credentialing system or CA</w:t>
            </w:r>
          </w:p>
        </w:tc>
        <w:tc>
          <w:tcPr/>
          <w:p>
            <w:pPr>
              <w:pStyle w:val="Compact"/>
            </w:pPr>
            <w:r>
              <w:t xml:space="preserve">The credential is reissued</w:t>
            </w:r>
            <w:r>
              <w:rPr>
                <w:rStyle w:val="FootnoteReference"/>
              </w:rPr>
              <w:footnoteReference w:id="34"/>
            </w:r>
          </w:p>
        </w:tc>
      </w:tr>
    </w:tbl>
    <w:p>
      <w:pPr>
        <w:pStyle w:val="BodyText"/>
      </w:pPr>
      <w:r>
        <w:t xml:space="preserve">FIPS 201-3 also allows an optional cardholder UUID on the PIV card: a persistent identifier of the cardholder rather than the card.</w:t>
      </w:r>
      <w:r>
        <w:rPr>
          <w:rStyle w:val="FootnoteReference"/>
        </w:rPr>
        <w:footnoteReference w:id="36"/>
      </w:r>
      <w:r>
        <w:t xml:space="preserve"> </w:t>
      </w:r>
      <w:r>
        <w:t xml:space="preserve">Where an agency populates it, map it to the enterprise person key like any other credential key. It can’t replace the enterprise key, because only people who hold a PIV card have one.</w:t>
      </w:r>
    </w:p>
    <w:p>
      <w:pPr>
        <w:pStyle w:val="BodyText"/>
      </w:pPr>
      <w:r>
        <w:rPr>
          <w:b/>
          <w:bCs/>
        </w:rPr>
        <w:t xml:space="preserve">The identifier decision.</w:t>
      </w:r>
      <w:r>
        <w:t xml:space="preserve"> </w:t>
      </w:r>
      <w:r>
        <w:t xml:space="preserve">Before Phase 1 closes (Chapter 12), the agency decides which key is the enterprise person key and how it is projected into the directory. The implementation in this series projects the source person number into</w:t>
      </w:r>
      <w:r>
        <w:t xml:space="preserve"> </w:t>
      </w:r>
      <w:r>
        <w:rPr>
          <w:rStyle w:val="VerbatimChar"/>
        </w:rPr>
        <w:t xml:space="preserve">employeeId</w:t>
      </w:r>
      <w:r>
        <w:t xml:space="preserve"> </w:t>
      </w:r>
      <w:r>
        <w:t xml:space="preserve">as the source correlation key (Chapter 06). That works while there is one source and the source never reassigns numbers. If the source changes — Core HCM cutover is the obvious case — or contractors come from a separate source, the enterprise person key has to be one the agency controls, with the source keys mapped to it. Many agencies already have one. A long-standing enterprise identifier, for example a</w:t>
      </w:r>
      <w:r>
        <w:t xml:space="preserve"> </w:t>
      </w:r>
      <w:r>
        <w:t xml:space="preserve">“Mainframe PIN”</w:t>
      </w:r>
      <w:r>
        <w:t xml:space="preserve"> </w:t>
      </w:r>
      <w:r>
        <w:t xml:space="preserve">that already serves as both the person ID and the employee ID, is the natural candidate: confirm it as the enterprise person key, carry it in</w:t>
      </w:r>
      <w:r>
        <w:t xml:space="preserve"> </w:t>
      </w:r>
      <w:r>
        <w:rPr>
          <w:rStyle w:val="VerbatimChar"/>
        </w:rPr>
        <w:t xml:space="preserve">employeeId</w:t>
      </w:r>
      <w:r>
        <w:t xml:space="preserve"> </w:t>
      </w:r>
      <w:r>
        <w:t xml:space="preserve">in both directories, and map Core HCM’s</w:t>
      </w:r>
      <w:r>
        <w:t xml:space="preserve"> </w:t>
      </w:r>
      <w:r>
        <w:rPr>
          <w:rStyle w:val="VerbatimChar"/>
        </w:rPr>
        <w:t xml:space="preserve">PersonNumber</w:t>
      </w:r>
      <w:r>
        <w:t xml:space="preserve"> </w:t>
      </w:r>
      <w:r>
        <w:t xml:space="preserve">and every directory and credential key to it. Whatever key is chosen has to fit its carrier: Entra ID’s</w:t>
      </w:r>
      <w:r>
        <w:t xml:space="preserve"> </w:t>
      </w:r>
      <w:r>
        <w:rPr>
          <w:rStyle w:val="VerbatimChar"/>
        </w:rPr>
        <w:t xml:space="preserve">employeeId</w:t>
      </w:r>
      <w:r>
        <w:t xml:space="preserve"> </w:t>
      </w:r>
      <w:r>
        <w:t xml:space="preserve">holds at most 16 characters.</w:t>
      </w:r>
      <w:r>
        <w:rPr>
          <w:rStyle w:val="FootnoteReference"/>
        </w:rPr>
        <w:footnoteReference w:id="37"/>
      </w:r>
      <w:r>
        <w:t xml:space="preserve"> </w:t>
      </w:r>
      <w:r>
        <w:t xml:space="preserve">Then the move to Core HCM changes only the source key, and nothing downstream has to. Where that key is already issued to contractors too, for example alongside their PIV credential, contractors are keyed exactly like employees, and a contractor who converts to federal employment keeps the same key. Either way, the enterprise key doesn’t change with name, position, region, or worker type; every account that belongs to the person can be linked to it; and when the person returns after a break in service, the rehire event re-links the</w:t>
      </w:r>
      <w:r>
        <w:t xml:space="preserve"> </w:t>
      </w:r>
      <w:r>
        <w:rPr>
          <w:i/>
          <w:iCs/>
        </w:rPr>
        <w:t xml:space="preserve">same</w:t>
      </w:r>
      <w:r>
        <w:t xml:space="preserve"> </w:t>
      </w:r>
      <w:r>
        <w:t xml:space="preserve">person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system, projected downward.</w:t>
      </w:r>
    </w:p>
    <w:p>
      <w:pPr>
        <w:pStyle w:val="BodyText"/>
      </w:pPr>
      <w:r>
        <w:t xml:space="preserve">The enterprise person key is what makes audit joins possible at all: the token event in the SIEM, the database login, the badge swipe, and the personnel action resolve to one person only because one key threads them.</w:t>
      </w:r>
    </w:p>
    <w:bookmarkEnd w:id="39"/>
    <w:bookmarkStart w:id="43" w:name="the-worker-type-boundary"/>
    <w:p>
      <w:pPr>
        <w:pStyle w:val="Heading2"/>
      </w:pPr>
      <w:r>
        <w:t xml:space="preserve">The worker-type boundary</w:t>
      </w:r>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Core HCM supports the conversion directly: its Change Worker Type process converts a contingent worker to an employee in one guided transaction, instead of terminating one work relationship and keying a new one by hand.</w:t>
      </w:r>
      <w:r>
        <w:rPr>
          <w:rStyle w:val="FootnoteReference"/>
        </w:rPr>
        <w:footnoteReference w:id="40"/>
      </w:r>
      <w:r>
        <w:t xml:space="preserve"> </w:t>
      </w:r>
      <w:r>
        <w:t xml:space="preserve">IA-4(4)’s status characterization (identifying each individual by status, for example as a contractor)</w:t>
      </w:r>
      <w:r>
        <w:rPr>
          <w:rStyle w:val="FootnoteReference"/>
        </w:rPr>
        <w:footnoteReference w:id="42"/>
      </w:r>
      <w:r>
        <w:t xml:space="preserve"> </w:t>
      </w:r>
      <w:r>
        <w:t xml:space="preserve">falls out of the same attribute for free: the characteristic is asserted by the system that classifies workers as a business act, not annotated by an administrator who heard about it.</w:t>
      </w:r>
    </w:p>
    <w:bookmarkEnd w:id="43"/>
    <w:bookmarkStart w:id="50" w:name="Xbc731464f983d3c4b337238bac67b7c9feadf4e"/>
    <w:p>
      <w:pPr>
        <w:pStyle w:val="Heading2"/>
      </w:pPr>
      <w:r>
        <w:t xml:space="preserve">Privacy: the disclosure basis for identity</w:t>
      </w:r>
    </w:p>
    <w:p>
      <w:pPr>
        <w:pStyle w:val="FirstParagraph"/>
      </w:pPr>
      <w:r>
        <w:t xml:space="preserve">The HR system is a Privacy Act system of records, and moving its data into a directory needs a disclosure basis like any other use of it. Which basis applies depends on where the records go. Inside the agency that maintains them, the Privacy Act permits disclosure to the agency’s own officers and employees who need the record in the performance of their duties;</w:t>
      </w:r>
      <w:r>
        <w:rPr>
          <w:rStyle w:val="FootnoteReference"/>
        </w:rPr>
        <w:footnoteReference w:id="44"/>
      </w:r>
      <w:r>
        <w:t xml:space="preserve"> </w:t>
      </w:r>
      <w:r>
        <w:t xml:space="preserve">an identity platform the agency runs for its own access decisions normally rests on that need-to-know provision. A routine use is a different thing: a disclosure</w:t>
      </w:r>
      <w:r>
        <w:t xml:space="preserve"> </w:t>
      </w:r>
      <w:r>
        <w:rPr>
          <w:i/>
          <w:iCs/>
        </w:rPr>
        <w:t xml:space="preserve">outside</w:t>
      </w:r>
      <w:r>
        <w:t xml:space="preserve"> </w:t>
      </w:r>
      <w:r>
        <w:t xml:space="preserve">the agency maintaining the system of records, for a purpose compatible with the one the records were collected for, published in the system-of-records notice.</w:t>
      </w:r>
      <w:r>
        <w:rPr>
          <w:rStyle w:val="FootnoteReference"/>
        </w:rPr>
        <w:footnoteReference w:id="46"/>
      </w:r>
      <w:r>
        <w:t xml:space="preserve"> </w:t>
      </w:r>
      <w:r>
        <w:t xml:space="preserve">It applies when the records leave the agency, for example to a shared-service provider or another agency. For general personnel records the governing notice is OPM/GOVT-1, plus the agency’s own.</w:t>
      </w:r>
      <w:r>
        <w:rPr>
          <w:rStyle w:val="FootnoteReference"/>
        </w:rPr>
        <w:footnoteReference w:id="48"/>
      </w:r>
      <w:r>
        <w:t xml:space="preserve"> </w:t>
      </w:r>
      <w:r>
        <w:t xml:space="preserve">The privacy office makes the determination for each flow, not the identity team. Whatever the basis, the flow also needs an updated privacy impact assessment and minimization — only the attributes an identity decision actually reads, as codes rather than narrative. The SSN is not a join key; the layered identifiers above exist so that it never has to be. Appendix B sets out the full data-flow assessment.</w:t>
      </w:r>
    </w:p>
    <w:bookmarkEnd w:id="50"/>
    <w:bookmarkStart w:id="57" w:name="operating-rules"/>
    <w:p>
      <w:pPr>
        <w:pStyle w:val="Heading2"/>
      </w:pPr>
      <w:r>
        <w:t xml:space="preserve">Operating rules</w:t>
      </w:r>
    </w:p>
    <w:p>
      <w:pPr>
        <w:pStyle w:val="Compact"/>
        <w:numPr>
          <w:ilvl w:val="0"/>
          <w:numId w:val="1001"/>
        </w:numPr>
      </w:pPr>
      <w:r>
        <w:rPr>
          <w:b/>
          <w:bCs/>
        </w:rPr>
        <w:t xml:space="preserve">One master per attribute.</w:t>
      </w:r>
      <w:r>
        <w:t xml:space="preserve"> </w:t>
      </w:r>
      <w:r>
        <w:t xml:space="preserve">An attribute is authoritative in exactly one system. Writeback, if used, carries only identity-platform-mastered values (username, work email, work phone) to HR for display; it never touches an HR-mastered fact, and no attribute is writable in both directions.</w:t>
      </w:r>
    </w:p>
    <w:p>
      <w:pPr>
        <w:pStyle w:val="Compact"/>
        <w:numPr>
          <w:ilvl w:val="0"/>
          <w:numId w:val="1001"/>
        </w:numPr>
      </w:pPr>
      <w:r>
        <w:rPr>
          <w:b/>
          <w:bCs/>
        </w:rPr>
        <w:t xml:space="preserve">No manual edits to HR-derived attributes.</w:t>
      </w:r>
      <w:r>
        <w:t xml:space="preserve"> </w:t>
      </w:r>
      <w:r>
        <w:t xml:space="preserve">Any IT-originated write to an attribute the HR feed owns is a drift event (Chapter 11).</w:t>
      </w:r>
    </w:p>
    <w:p>
      <w:pPr>
        <w:pStyle w:val="Compact"/>
        <w:numPr>
          <w:ilvl w:val="0"/>
          <w:numId w:val="1001"/>
        </w:numPr>
      </w:pPr>
      <w:r>
        <w:rPr>
          <w:b/>
          <w:bCs/>
        </w:rPr>
        <w:t xml:space="preserve">Corrections flow upstream.</w:t>
      </w:r>
      <w:r>
        <w:t xml:space="preserve"> </w:t>
      </w:r>
      <w:r>
        <w:t xml:space="preserve">A wrong value is fixed in the HR record or in the mapping rule, never in the directory.</w:t>
      </w:r>
    </w:p>
    <w:p>
      <w:pPr>
        <w:pStyle w:val="Compact"/>
        <w:numPr>
          <w:ilvl w:val="0"/>
          <w:numId w:val="1001"/>
        </w:numPr>
      </w:pPr>
      <w:r>
        <w:rPr>
          <w:b/>
          <w:bCs/>
        </w:rPr>
        <w:t xml:space="preserve">Every event produces a provenance record.</w:t>
      </w:r>
      <w:r>
        <w:t xml:space="preserve"> </w:t>
      </w:r>
      <w:r>
        <w:t xml:space="preserve">No record, no verifiable outcome.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opt/quarto/share/formats/docx/tip.png" id="53"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4">
              <w:r>
                <w:rPr>
                  <w:rStyle w:val="Hyperlink"/>
                </w:rPr>
                <w:t xml:space="preserve">← Previous: Chapter 03 — Federal HR 2.0 and the Core HCM Platform</w:t>
              </w:r>
            </w:hyperlink>
            <w:r>
              <w:t xml:space="preserve"> </w:t>
            </w:r>
            <w:r>
              <w:t xml:space="preserve">·</w:t>
            </w:r>
            <w:r>
              <w:t xml:space="preserve"> </w:t>
            </w:r>
            <w:hyperlink r:id="rId55">
              <w:r>
                <w:rPr>
                  <w:rStyle w:val="Hyperlink"/>
                </w:rPr>
                <w:t xml:space="preserve">Book index</w:t>
              </w:r>
            </w:hyperlink>
            <w:r>
              <w:t xml:space="preserve"> </w:t>
            </w:r>
            <w:r>
              <w:t xml:space="preserve">·</w:t>
            </w:r>
            <w:r>
              <w:t xml:space="preserve"> </w:t>
            </w:r>
            <w:hyperlink r:id="rId56">
              <w:r>
                <w:rPr>
                  <w:rStyle w:val="Hyperlink"/>
                </w:rPr>
                <w:t xml:space="preserve">Next: Chapter 05 — Provisioning Services →</w:t>
              </w:r>
            </w:hyperlink>
          </w:p>
          <w:p/>
        </w:tc>
      </w:tr>
    </w:tbl>
    <w:bookmarkEnd w:id="57"/>
    <w:bookmarkEnd w:id="5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U.S. Office of Personnel Management,</w:t>
      </w:r>
      <w:r>
        <w:t xml:space="preserve"> </w:t>
      </w:r>
      <w:r>
        <w:t xml:space="preserve">“OPM Awards Contract for First-Ever Governmentwide HR Platform”</w:t>
      </w:r>
      <w:r>
        <w:t xml:space="preserve"> </w:t>
      </w:r>
      <w:r>
        <w:t xml:space="preserve">(Federal HRIT Modernization Core HCM contract awarded to Oracle; a FedRAMP-certified, cloud-based SaaS platform),</w:t>
      </w:r>
      <w:r>
        <w:t xml:space="preserve"> </w:t>
      </w:r>
      <w:hyperlink r:id="rId13">
        <w:r>
          <w:rPr>
            <w:rStyle w:val="Hyperlink"/>
          </w:rPr>
          <w:t xml:space="preserve">https://www.opm.gov/news/news-releases/opm-awards-contract-for-first-ever-governmentwide-hr-platform/</w:t>
        </w:r>
      </w:hyperlink>
      <w:r>
        <w:t xml:space="preserve"> </w:t>
      </w:r>
      <w:r>
        <w:t xml:space="preserve">(accessed Oct 20, 2026).</w:t>
      </w:r>
    </w:p>
  </w:footnote>
  <w:footnote w:id="14">
    <w:p>
      <w:pPr>
        <w:pStyle w:val="FootnoteText"/>
      </w:pPr>
      <w:r>
        <w:rPr>
          <w:rStyle w:val="FootnoteReference"/>
        </w:rPr>
        <w:footnoteRef/>
      </w:r>
      <w:r>
        <w:t xml:space="preserve"> </w:t>
      </w:r>
      <w:r>
        <w:t xml:space="preserve">General Services Administration, FedRAMP Marketplace data, product F1603257882,</w:t>
      </w:r>
      <w:r>
        <w:t xml:space="preserve"> </w:t>
      </w:r>
      <w:r>
        <w:t xml:space="preserve">“Oracle — Fusion Cloud”</w:t>
      </w:r>
      <w:r>
        <w:t xml:space="preserve"> </w:t>
      </w:r>
      <w:r>
        <w:t xml:space="preserve">(FedRAMP Authorized, Moderate; the SaaS suite includes Human Capital Management),</w:t>
      </w:r>
      <w:r>
        <w:t xml:space="preserve"> </w:t>
      </w:r>
      <w:hyperlink r:id="rId15">
        <w:r>
          <w:rPr>
            <w:rStyle w:val="Hyperlink"/>
          </w:rPr>
          <w:t xml:space="preserve">https://raw.githubusercontent.com/GSA/marketplace-fedramp-gov-data/main/data.json</w:t>
        </w:r>
      </w:hyperlink>
      <w:r>
        <w:t xml:space="preserve"> </w:t>
      </w:r>
      <w:r>
        <w:t xml:space="preserve">(accessed Oct 20, 2026).</w:t>
      </w:r>
    </w:p>
  </w:footnote>
  <w:footnote w:id="16">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“Considerations for Using Jobs and Positions”</w:t>
      </w:r>
      <w:r>
        <w:t xml:space="preserve"> </w:t>
      </w:r>
      <w:r>
        <w:t xml:space="preserve">(positions are</w:t>
      </w:r>
      <w:r>
        <w:t xml:space="preserve"> </w:t>
      </w:r>
      <w:r>
        <w:t xml:space="preserve">“independent of the person performing the job”</w:t>
      </w:r>
      <w:r>
        <w:t xml:space="preserve">),</w:t>
      </w:r>
      <w:r>
        <w:t xml:space="preserve"> </w:t>
      </w:r>
      <w:hyperlink r:id="rId17">
        <w:r>
          <w:rPr>
            <w:rStyle w:val="Hyperlink"/>
          </w:rPr>
          <w:t xml:space="preserve">https://docs.oracle.com/en/cloud/saas/human-resources/faucf/considerations-for-using-jobs-and-positions.html</w:t>
        </w:r>
      </w:hyperlink>
      <w:r>
        <w:t xml:space="preserve"> </w:t>
      </w:r>
      <w:r>
        <w:t xml:space="preserve">(accessed Oct 20, 2026).</w:t>
      </w:r>
    </w:p>
  </w:footnote>
  <w:footnote w:id="18">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“Employee Feeds”</w:t>
      </w:r>
      <w:r>
        <w:t xml:space="preserve"> </w:t>
      </w:r>
      <w:r>
        <w:t xml:space="preserve">(the</w:t>
      </w:r>
      <w:r>
        <w:t xml:space="preserve"> </w:t>
      </w:r>
      <w:r>
        <w:rPr>
          <w:rStyle w:val="VerbatimChar"/>
        </w:rPr>
        <w:t xml:space="preserve">empassignment</w:t>
      </w:r>
      <w:r>
        <w:t xml:space="preserve"> </w:t>
      </w:r>
      <w:r>
        <w:t xml:space="preserve">feed fires when assignment, salary or manager information changes; feeds cover employee, contingent worker and pending worker types),</w:t>
      </w:r>
      <w:r>
        <w:t xml:space="preserve"> </w:t>
      </w:r>
      <w:hyperlink r:id="rId19">
        <w:r>
          <w:rPr>
            <w:rStyle w:val="Hyperlink"/>
          </w:rPr>
          <w:t xml:space="preserve">https://docs.oracle.com/en/cloud/saas/human-resources/farws/Employee_Atom_Feeds.html</w:t>
        </w:r>
      </w:hyperlink>
      <w:r>
        <w:t xml:space="preserve"> </w:t>
      </w:r>
      <w:r>
        <w:t xml:space="preserve">(accessed Oct 20, 2026).</w:t>
      </w:r>
    </w:p>
  </w:footnote>
  <w:footnote w:id="22">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“Date Effectivity,”</w:t>
      </w:r>
      <w:r>
        <w:t xml:space="preserve"> </w:t>
      </w:r>
      <w:hyperlink r:id="rId23">
        <w:r>
          <w:rPr>
            <w:rStyle w:val="Hyperlink"/>
          </w:rPr>
          <w:t xml:space="preserve">https://docs.oracle.com/en/cloud/saas/human-resources/faucf/date-effectivity.html</w:t>
        </w:r>
      </w:hyperlink>
      <w:r>
        <w:t xml:space="preserve"> </w:t>
      </w:r>
      <w:r>
        <w:t xml:space="preserve">(accessed Oct 20, 2026).</w:t>
      </w:r>
    </w:p>
  </w:footnote>
  <w:footnote w:id="29">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(Release 5.2.0, August 2025), controls IA-4 and IA-4(4) and its discussion,</w:t>
      </w:r>
      <w:r>
        <w:t xml:space="preserve"> </w:t>
      </w:r>
      <w:hyperlink r:id="rId30">
        <w:r>
          <w:rPr>
            <w:rStyle w:val="Hyperlink"/>
          </w:rPr>
          <w:t xml:space="preserve">https://csrc.nist.gov/pubs/sp/800/53/r5/upd1/final</w:t>
        </w:r>
      </w:hyperlink>
      <w:r>
        <w:t xml:space="preserve"> </w:t>
      </w:r>
      <w:r>
        <w:t xml:space="preserve">(accessed Oct 20, 2026).</w:t>
      </w:r>
    </w:p>
  </w:footnote>
  <w:footnote w:id="3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(reissuance generates a new FASC-N and card UUID; the optional cardholder UUID is a persistent cardholder identifier),</w:t>
      </w:r>
      <w:r>
        <w:t xml:space="preserve"> </w:t>
      </w:r>
      <w:hyperlink r:id="rId35">
        <w:r>
          <w:rPr>
            <w:rStyle w:val="Hyperlink"/>
          </w:rPr>
          <w:t xml:space="preserve">https://nvlpubs.nist.gov/nistpubs/FIPS/NIST.FIPS.201-3.pdf</w:t>
        </w:r>
      </w:hyperlink>
      <w:r>
        <w:t xml:space="preserve"> </w:t>
      </w:r>
      <w:r>
        <w:t xml:space="preserve">(accessed Oct 20, 2026).</w:t>
      </w:r>
    </w:p>
  </w:footnote>
  <w:footnote w:id="36">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(reissuance generates a new FASC-N and card UUID; the optional cardholder UUID is a persistent cardholder identifier),</w:t>
      </w:r>
      <w:r>
        <w:t xml:space="preserve"> </w:t>
      </w:r>
      <w:hyperlink r:id="rId35">
        <w:r>
          <w:rPr>
            <w:rStyle w:val="Hyperlink"/>
          </w:rPr>
          <w:t xml:space="preserve">https://nvlpubs.nist.gov/nistpubs/FIPS/NIST.FIPS.201-3.pdf</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“user resource type”</w:t>
      </w:r>
      <w:r>
        <w:t xml:space="preserve"> </w:t>
      </w:r>
      <w:r>
        <w:t xml:space="preserve">(Microsoft Graph v1.0;</w:t>
      </w:r>
      <w:r>
        <w:t xml:space="preserve"> </w:t>
      </w:r>
      <w:r>
        <w:rPr>
          <w:rStyle w:val="VerbatimChar"/>
        </w:rPr>
        <w:t xml:space="preserve">employeeId</w:t>
      </w:r>
      <w:r>
        <w:t xml:space="preserve"> </w:t>
      </w:r>
      <w:r>
        <w:t xml:space="preserve">maximum length 16 characters),</w:t>
      </w:r>
      <w:r>
        <w:t xml:space="preserve"> </w:t>
      </w:r>
      <w:hyperlink r:id="rId38">
        <w:r>
          <w:rPr>
            <w:rStyle w:val="Hyperlink"/>
          </w:rPr>
          <w:t xml:space="preserve">https://learn.microsoft.com/en-us/graph/api/resources/user</w:t>
        </w:r>
      </w:hyperlink>
      <w:r>
        <w:t xml:space="preserve"> </w:t>
      </w:r>
      <w:r>
        <w:t xml:space="preserve">(accessed Oct 20, 2026).</w:t>
      </w:r>
    </w:p>
  </w:footnote>
  <w:footnote w:id="40">
    <w:p>
      <w:pPr>
        <w:pStyle w:val="FootnoteText"/>
      </w:pPr>
      <w:r>
        <w:rPr>
          <w:rStyle w:val="FootnoteReference"/>
        </w:rPr>
        <w:footnoteRef/>
      </w:r>
      <w:r>
        <w:t xml:space="preserve"> </w:t>
      </w:r>
      <w:r>
        <w:t xml:space="preserve">Oracle,</w:t>
      </w:r>
      <w:r>
        <w:t xml:space="preserve"> </w:t>
      </w:r>
      <w:r>
        <w:rPr>
          <w:i/>
          <w:iCs/>
        </w:rPr>
        <w:t xml:space="preserve">Oracle Fusion Cloud Human Resources 26B What’s New</w:t>
      </w:r>
      <w:r>
        <w:t xml:space="preserve">,</w:t>
      </w:r>
      <w:r>
        <w:t xml:space="preserve"> </w:t>
      </w:r>
      <w:r>
        <w:t xml:space="preserve">“New Redwood Process to Change Worker Type,”</w:t>
      </w:r>
      <w:r>
        <w:t xml:space="preserve"> </w:t>
      </w:r>
      <w:hyperlink r:id="rId41">
        <w:r>
          <w:rPr>
            <w:rStyle w:val="Hyperlink"/>
          </w:rPr>
          <w:t xml:space="preserve">https://docs.oracle.com/en/cloud/saas/readiness/hcm/26b/hure-26b/26B-hr-wn-f43513.htm</w:t>
        </w:r>
      </w:hyperlink>
      <w:r>
        <w:t xml:space="preserve"> </w:t>
      </w:r>
      <w:r>
        <w:t xml:space="preserve">(accessed Oct 20, 2026).</w:t>
      </w:r>
    </w:p>
  </w:footnote>
  <w:footnote w:id="42">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(Release 5.2.0, August 2025), controls IA-4 and IA-4(4) and its discussion,</w:t>
      </w:r>
      <w:r>
        <w:t xml:space="preserve"> </w:t>
      </w:r>
      <w:hyperlink r:id="rId30">
        <w:r>
          <w:rPr>
            <w:rStyle w:val="Hyperlink"/>
          </w:rPr>
          <w:t xml:space="preserve">https://csrc.nist.gov/pubs/sp/800/53/r5/upd1/final</w:t>
        </w:r>
      </w:hyperlink>
      <w:r>
        <w:t xml:space="preserve"> </w:t>
      </w:r>
      <w:r>
        <w:t xml:space="preserve">(accessed Oct 20, 2026).</w:t>
      </w:r>
    </w:p>
  </w:footnote>
  <w:footnote w:id="44">
    <w:p>
      <w:pPr>
        <w:pStyle w:val="FootnoteText"/>
      </w:pPr>
      <w:r>
        <w:rPr>
          <w:rStyle w:val="FootnoteReference"/>
        </w:rPr>
        <w:footnoteRef/>
      </w:r>
      <w:r>
        <w:t xml:space="preserve"> </w:t>
      </w:r>
      <w:r>
        <w:t xml:space="preserve">Privacy Act of 1974, 5 U.S.C. § 552a(b)(1) (disclosure to officers and employees of the maintaining agency who need the record in the performance of their duties) and § 552a(b)(3) (routine use),</w:t>
      </w:r>
      <w:r>
        <w:t xml:space="preserve"> </w:t>
      </w:r>
      <w:hyperlink r:id="rId45">
        <w:r>
          <w:rPr>
            <w:rStyle w:val="Hyperlink"/>
          </w:rPr>
          <w:t xml:space="preserve">https://www.law.cornell.edu/uscode/text/5/552a</w:t>
        </w:r>
      </w:hyperlink>
      <w:r>
        <w:t xml:space="preserve"> </w:t>
      </w:r>
      <w:r>
        <w:t xml:space="preserve">(accessed Oct 20, 2026).</w:t>
      </w:r>
    </w:p>
  </w:footnote>
  <w:footnote w:id="46">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December 2016,</w:t>
      </w:r>
      <w:r>
        <w:t xml:space="preserve"> </w:t>
      </w:r>
      <w:r>
        <w:t xml:space="preserve">“Routine Uses,”</w:t>
      </w:r>
      <w:r>
        <w:t xml:space="preserve"> </w:t>
      </w:r>
      <w:hyperlink r:id="rId47">
        <w:r>
          <w:rPr>
            <w:rStyle w:val="Hyperlink"/>
          </w:rPr>
          <w:t xml:space="preserve">https://www.whitehouse.gov/wp-content/uploads/legacy_drupal_files/omb/circulars/A108/omb_circular_a_108_12_12_16.pdf</w:t>
        </w:r>
      </w:hyperlink>
      <w:r>
        <w:t xml:space="preserve"> </w:t>
      </w:r>
      <w:r>
        <w:t xml:space="preserve">(accessed Oct 20, 2026).</w:t>
      </w:r>
    </w:p>
  </w:footnote>
  <w:footnote w:id="48">
    <w:p>
      <w:pPr>
        <w:pStyle w:val="FootnoteText"/>
      </w:pPr>
      <w:r>
        <w:rPr>
          <w:rStyle w:val="FootnoteReference"/>
        </w:rPr>
        <w:footnoteRef/>
      </w:r>
      <w:r>
        <w:t xml:space="preserve"> </w:t>
      </w:r>
      <w:r>
        <w:t xml:space="preserve">Office of Personnel Management,</w:t>
      </w:r>
      <w:r>
        <w:t xml:space="preserve"> </w:t>
      </w:r>
      <w:r>
        <w:t xml:space="preserve">“Privacy Act of 1974; System of Records”</w:t>
      </w:r>
      <w:r>
        <w:t xml:space="preserve"> </w:t>
      </w:r>
      <w:r>
        <w:t xml:space="preserve">(notice of a modified system of records, OPM/GOVT-1 General Personnel Records),</w:t>
      </w:r>
      <w:r>
        <w:t xml:space="preserve"> </w:t>
      </w:r>
      <w:r>
        <w:rPr>
          <w:i/>
          <w:iCs/>
        </w:rPr>
        <w:t xml:space="preserve">Federal Register</w:t>
      </w:r>
      <w:r>
        <w:t xml:space="preserve"> </w:t>
      </w:r>
      <w:r>
        <w:t xml:space="preserve">88, no. 158, August 17, 2023,</w:t>
      </w:r>
      <w:r>
        <w:t xml:space="preserve"> </w:t>
      </w:r>
      <w:hyperlink r:id="rId49">
        <w:r>
          <w:rPr>
            <w:rStyle w:val="Hyperlink"/>
          </w:rPr>
          <w:t xml:space="preserve">https://www.govinfo.gov/content/pkg/FR-2023-08-17/html/2023-17651.htm</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svg" /><Relationship Type="http://schemas.openxmlformats.org/officeDocument/2006/relationships/image" Id="rId31" Target="media/rId31.svg" /><Relationship Type="http://schemas.openxmlformats.org/officeDocument/2006/relationships/image" Id="rId9" Target="media/rId9.png" /><Relationship Type="http://schemas.openxmlformats.org/officeDocument/2006/relationships/image" Id="rId51" Target="media/rId51.png" /><Relationship Type="http://schemas.openxmlformats.org/officeDocument/2006/relationships/hyperlink" Id="rId54" Target="03-federal-hr-2-0.md" TargetMode="External" /><Relationship Type="http://schemas.openxmlformats.org/officeDocument/2006/relationships/hyperlink" Id="rId56" Target="05-the-provisioning-pipeline.md" TargetMode="External" /><Relationship Type="http://schemas.openxmlformats.org/officeDocument/2006/relationships/hyperlink" Id="rId30" Target="https://csrc.nist.gov/pubs/sp/800/53/r5/upd1/final" TargetMode="External" /><Relationship Type="http://schemas.openxmlformats.org/officeDocument/2006/relationships/hyperlink" Id="rId19" Target="https://docs.oracle.com/en/cloud/saas/human-resources/farws/Employee_Atom_Feeds.html" TargetMode="External" /><Relationship Type="http://schemas.openxmlformats.org/officeDocument/2006/relationships/hyperlink" Id="rId17" Target="https://docs.oracle.com/en/cloud/saas/human-resources/faucf/considerations-for-using-jobs-and-positions.html" TargetMode="External" /><Relationship Type="http://schemas.openxmlformats.org/officeDocument/2006/relationships/hyperlink" Id="rId23" Target="https://docs.oracle.com/en/cloud/saas/human-resources/faucf/date-effectivity.html" TargetMode="External" /><Relationship Type="http://schemas.openxmlformats.org/officeDocument/2006/relationships/hyperlink" Id="rId41" Target="https://docs.oracle.com/en/cloud/saas/readiness/hcm/26b/hure-26b/26B-hr-wn-f43513.htm" TargetMode="External" /><Relationship Type="http://schemas.openxmlformats.org/officeDocument/2006/relationships/hyperlink" Id="rId38" Target="https://learn.microsoft.com/en-us/graph/api/resources/user" TargetMode="External" /><Relationship Type="http://schemas.openxmlformats.org/officeDocument/2006/relationships/hyperlink" Id="rId35" Target="https://nvlpubs.nist.gov/nistpubs/FIPS/NIST.FIPS.201-3.pdf" TargetMode="External" /><Relationship Type="http://schemas.openxmlformats.org/officeDocument/2006/relationships/hyperlink" Id="rId15" Target="https://raw.githubusercontent.com/GSA/marketplace-fedramp-gov-data/main/data.json" TargetMode="External" /><Relationship Type="http://schemas.openxmlformats.org/officeDocument/2006/relationships/hyperlink" Id="rId49" Target="https://www.govinfo.gov/content/pkg/FR-2023-08-17/html/2023-17651.htm" TargetMode="External" /><Relationship Type="http://schemas.openxmlformats.org/officeDocument/2006/relationships/hyperlink" Id="rId45" Target="https://www.law.cornell.edu/uscode/text/5/552a" TargetMode="External" /><Relationship Type="http://schemas.openxmlformats.org/officeDocument/2006/relationships/hyperlink" Id="rId13" Target="https://www.opm.gov/news/news-releases/opm-awards-contract-for-first-ever-governmentwide-hr-platform/" TargetMode="External" /><Relationship Type="http://schemas.openxmlformats.org/officeDocument/2006/relationships/hyperlink" Id="rId47" Target="https://www.whitehouse.gov/wp-content/uploads/legacy_drupal_files/omb/circulars/A108/omb_circular_a_108_12_12_16.pdf" TargetMode="External" /><Relationship Type="http://schemas.openxmlformats.org/officeDocument/2006/relationships/hyperlink" Id="rId55" Target="index.md" TargetMode="External" /></Relationships>
</file>

<file path=word/_rels/footnotes.xml.rels><?xml version="1.0" encoding="UTF-8"?><Relationships xmlns="http://schemas.openxmlformats.org/package/2006/relationships"><Relationship Type="http://schemas.openxmlformats.org/officeDocument/2006/relationships/hyperlink" Id="rId54" Target="03-federal-hr-2-0.md" TargetMode="External" /><Relationship Type="http://schemas.openxmlformats.org/officeDocument/2006/relationships/hyperlink" Id="rId56" Target="05-the-provisioning-pipeline.md" TargetMode="External" /><Relationship Type="http://schemas.openxmlformats.org/officeDocument/2006/relationships/hyperlink" Id="rId30" Target="https://csrc.nist.gov/pubs/sp/800/53/r5/upd1/final" TargetMode="External" /><Relationship Type="http://schemas.openxmlformats.org/officeDocument/2006/relationships/hyperlink" Id="rId19" Target="https://docs.oracle.com/en/cloud/saas/human-resources/farws/Employee_Atom_Feeds.html" TargetMode="External" /><Relationship Type="http://schemas.openxmlformats.org/officeDocument/2006/relationships/hyperlink" Id="rId17" Target="https://docs.oracle.com/en/cloud/saas/human-resources/faucf/considerations-for-using-jobs-and-positions.html" TargetMode="External" /><Relationship Type="http://schemas.openxmlformats.org/officeDocument/2006/relationships/hyperlink" Id="rId23" Target="https://docs.oracle.com/en/cloud/saas/human-resources/faucf/date-effectivity.html" TargetMode="External" /><Relationship Type="http://schemas.openxmlformats.org/officeDocument/2006/relationships/hyperlink" Id="rId41" Target="https://docs.oracle.com/en/cloud/saas/readiness/hcm/26b/hure-26b/26B-hr-wn-f43513.htm" TargetMode="External" /><Relationship Type="http://schemas.openxmlformats.org/officeDocument/2006/relationships/hyperlink" Id="rId38" Target="https://learn.microsoft.com/en-us/graph/api/resources/user" TargetMode="External" /><Relationship Type="http://schemas.openxmlformats.org/officeDocument/2006/relationships/hyperlink" Id="rId35" Target="https://nvlpubs.nist.gov/nistpubs/FIPS/NIST.FIPS.201-3.pdf" TargetMode="External" /><Relationship Type="http://schemas.openxmlformats.org/officeDocument/2006/relationships/hyperlink" Id="rId15" Target="https://raw.githubusercontent.com/GSA/marketplace-fedramp-gov-data/main/data.json" TargetMode="External" /><Relationship Type="http://schemas.openxmlformats.org/officeDocument/2006/relationships/hyperlink" Id="rId49" Target="https://www.govinfo.gov/content/pkg/FR-2023-08-17/html/2023-17651.htm" TargetMode="External" /><Relationship Type="http://schemas.openxmlformats.org/officeDocument/2006/relationships/hyperlink" Id="rId45" Target="https://www.law.cornell.edu/uscode/text/5/552a" TargetMode="External" /><Relationship Type="http://schemas.openxmlformats.org/officeDocument/2006/relationships/hyperlink" Id="rId13" Target="https://www.opm.gov/news/news-releases/opm-awards-contract-for-first-ever-governmentwide-hr-platform/" TargetMode="External" /><Relationship Type="http://schemas.openxmlformats.org/officeDocument/2006/relationships/hyperlink" Id="rId47" Target="https://www.whitehouse.gov/wp-content/uploads/legacy_drupal_files/omb/circulars/A108/omb_circular_a_108_12_12_16.pdf" TargetMode="External" /><Relationship Type="http://schemas.openxmlformats.org/officeDocument/2006/relationships/hyperlink" Id="rId5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Attribute Authority</dc:title>
  <dc:creator/>
  <dc:description>What the HR system of record owns and what the identity platform owns, effective dating, the authoritative-versus-derived rule for every attribute, the identifier layers and the enterprise identifier decision, the worker-type boundary, and the operating rules that keep one master per attribute.</dc:description>
  <cp:keywords/>
  <dcterms:created xsi:type="dcterms:W3CDTF">2026-10-20T23:25:15Z</dcterms:created>
  <dcterms:modified xsi:type="dcterms:W3CDTF">2026-10-20T23:25:15Z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