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50.svg" ContentType="image/svg+xml"/>
  <Override PartName="/word/media/rId9.png" ContentType="image/png"/>
  <Override PartName="/word/media/rId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05 — Provisioning Services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9" w:name="chapter-05-provisioning-services"/>
    <w:p>
      <w:pPr>
        <w:pStyle w:val="Heading1"/>
      </w:pPr>
      <w:r>
        <w:t xml:space="preserve">Chapter 05 — Provisioning Services</w:t>
      </w:r>
    </w:p>
    <w:p>
      <w:pPr>
        <w:pStyle w:val="FirstParagraph"/>
      </w:pPr>
      <w:r>
        <w:rPr>
          <w:i/>
          <w:iCs/>
        </w:rPr>
        <w:t xml:space="preserve">One door into the directory, so there is exactly one door to instrument.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logical architecture and its Microsoft realization: where provisioning sits between the governed identity model and the directories, and why API-driven inbound provisioning is the Microsoft implementation. The Oracle HCM source surfaces. What the middleware must do for every event, including reconciliation. The</w:t>
            </w:r>
            <w:r>
              <w:t xml:space="preserve"> </w:t>
            </w:r>
            <w:r>
              <w:rPr>
                <w:rStyle w:val="VerbatimChar"/>
              </w:rPr>
              <w:t xml:space="preserve">bulkUpload</w:t>
            </w:r>
            <w:r>
              <w:t xml:space="preserve"> </w:t>
            </w:r>
            <w:r>
              <w:t xml:space="preserve">contract and its limits. The two landing zones and what each one does with structure. Native connectors and writeback.</w:t>
            </w:r>
          </w:p>
          <w:p/>
        </w:tc>
      </w:tr>
    </w:tbl>
    <w:bookmarkStart w:id="17" w:name="X2b1bab292a56fb90c953e270ee25f4c6dc1bf82"/>
    <w:p>
      <w:pPr>
        <w:pStyle w:val="Heading2"/>
      </w:pPr>
      <w:r>
        <w:t xml:space="preserve">Logical architecture and Microsoft realization</w:t>
      </w:r>
    </w:p>
    <w:p>
      <w:pPr>
        <w:pStyle w:val="FirstParagraph"/>
      </w:pPr>
      <w:r>
        <w:rPr>
          <w:b/>
          <w:bCs/>
        </w:rPr>
        <w:t xml:space="preserve">The logical architecture is stable:</w:t>
      </w:r>
    </w:p>
    <w:p>
      <w:pPr>
        <w:pStyle w:val="BlockText"/>
      </w:pPr>
      <w:r>
        <w:rPr>
          <w:b/>
          <w:bCs/>
        </w:rPr>
        <w:t xml:space="preserve">Authoritative workforce source → boundary transformation → governed workforce identity model → provisioning service → target services</w:t>
      </w:r>
    </w:p>
    <w:p>
      <w:pPr>
        <w:pStyle w:val="FirstParagraph"/>
      </w:pPr>
      <w:r>
        <w:t xml:space="preserve">The governed workforce identity model (Chapter 06) is the stable center: everything to its left is source-specific, everything to its right is delivery.</w:t>
      </w:r>
    </w:p>
    <w:p>
      <w:pPr>
        <w:pStyle w:val="BodyText"/>
      </w:pPr>
      <w:r>
        <w:rPr>
          <w:b/>
          <w:bCs/>
        </w:rPr>
        <w:t xml:space="preserve">The Microsoft realization is replaceable:</w:t>
      </w:r>
    </w:p>
    <w:p>
      <w:pPr>
        <w:pStyle w:val="BlockText"/>
      </w:pPr>
      <w:r>
        <w:rPr>
          <w:b/>
          <w:bCs/>
        </w:rPr>
        <w:t xml:space="preserve">Oracle Core HCM → integration middleware (Azure Functions or Logic Apps) → Microsoft Graph</w:t>
      </w:r>
      <w:r>
        <w:rPr>
          <w:b/>
          <w:bCs/>
        </w:rPr>
        <w:t xml:space="preserve"> </w:t>
      </w:r>
      <w:r>
        <w:rPr>
          <w:rStyle w:val="VerbatimChar"/>
          <w:b/>
          <w:bCs/>
        </w:rPr>
        <w:t xml:space="preserve">/bulkUpload</w:t>
      </w:r>
      <w:r>
        <w:rPr>
          <w:b/>
          <w:bCs/>
        </w:rPr>
        <w:t xml:space="preserve"> </w:t>
      </w:r>
      <w:r>
        <w:rPr>
          <w:b/>
          <w:bCs/>
        </w:rPr>
        <w:t xml:space="preserve">→ Entra provisioning service → Entra ID or on-premises Active Directory</w:t>
      </w:r>
    </w:p>
    <w:p>
      <w:pPr>
        <w:pStyle w:val="CaptionedFigure"/>
      </w:pPr>
      <w:r>
        <w:drawing>
          <wp:inline>
            <wp:extent cx="5334000" cy="1802851"/>
            <wp:effectExtent b="0" l="0" r="0" t="0"/>
            <wp:docPr descr="Provisioning services: Core HCM through a replaceable boundary transformation and a middleware with five duties per event, into Graph /bulkUpload, landing in Active Directory or Entra ID, with provenance in an evidence store." title="" id="13" name="Picture"/>
            <a:graphic>
              <a:graphicData uri="http://schemas.openxmlformats.org/drawingml/2006/picture">
                <pic:pic>
                  <pic:nvPicPr>
                    <pic:cNvPr descr="../../images/diagrams/b03-hr-identity/svg/ch05-provisioning-services.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1802851"/>
                    </a:xfrm>
                    <a:prstGeom prst="rect">
                      <a:avLst/>
                    </a:prstGeom>
                    <a:noFill/>
                    <a:ln w="9525">
                      <a:noFill/>
                      <a:headEnd/>
                      <a:tailEnd/>
                    </a:ln>
                  </pic:spPr>
                </pic:pic>
              </a:graphicData>
            </a:graphic>
          </wp:inline>
        </w:drawing>
      </w:r>
    </w:p>
    <w:p>
      <w:pPr>
        <w:pStyle w:val="ImageCaption"/>
      </w:pPr>
      <w:r>
        <w:t xml:space="preserve">Provisioning services: Core HCM through a replaceable boundary transformation and a middleware with five duties per event, into Graph /bulkUpload, landing in Active Directory or Entra ID, with provenance in an evidence store.</w:t>
      </w:r>
    </w:p>
    <w:p>
      <w:pPr>
        <w:pStyle w:val="BodyText"/>
      </w:pPr>
      <w:r>
        <w:t xml:space="preserve">The API client reads identity data from the authoritative source and posts it to the provisioning app’s</w:t>
      </w:r>
      <w:r>
        <w:t xml:space="preserve"> </w:t>
      </w:r>
      <w:r>
        <w:rPr>
          <w:rStyle w:val="VerbatimChar"/>
        </w:rPr>
        <w:t xml:space="preserve">/bulkUpload</w:t>
      </w:r>
      <w:r>
        <w:t xml:space="preserve"> </w:t>
      </w:r>
      <w:r>
        <w:t xml:space="preserve">endpoint as a SCIM bulk request. It doesn’t compare source and target values to decide whether to create, update, enable or disable; the provisioning service does that, applies the attribute mappings the administrator configured, and writes the user to on-premises AD (hybrid users) or to Entra ID (cloud-only users). The endpoint answers</w:t>
      </w:r>
      <w:r>
        <w:t xml:space="preserve"> </w:t>
      </w:r>
      <w:r>
        <w:rPr>
          <w:rStyle w:val="VerbatimChar"/>
        </w:rPr>
        <w:t xml:space="preserve">202 Accepted</w:t>
      </w:r>
      <w:r>
        <w:t xml:space="preserve"> </w:t>
      </w:r>
      <w:r>
        <w:t xml:space="preserve">and processes asynchronously; the client reads the provisioning logs API for the per-record result and applies bounded, idempotent retry for transient failures. Permanent failures become reconciled exceptions with an owner and alternate completion path.</w:t>
      </w:r>
      <w:r>
        <w:rPr>
          <w:rStyle w:val="FootnoteReference"/>
        </w:rPr>
        <w:footnoteReference w:id="15"/>
      </w:r>
    </w:p>
    <w:bookmarkEnd w:id="17"/>
    <w:bookmarkStart w:id="22" w:name="why-api-driven-inbound-provisioning"/>
    <w:p>
      <w:pPr>
        <w:pStyle w:val="Heading2"/>
      </w:pPr>
      <w:r>
        <w:t xml:space="preserve">Why API-driven inbound provisioning</w:t>
      </w:r>
    </w:p>
    <w:p>
      <w:pPr>
        <w:pStyle w:val="Compact"/>
        <w:numPr>
          <w:ilvl w:val="0"/>
          <w:numId w:val="1001"/>
        </w:numPr>
      </w:pPr>
      <w:r>
        <w:rPr>
          <w:b/>
          <w:bCs/>
        </w:rPr>
        <w:t xml:space="preserve">Oracle Fusion Cloud HCM has no native Entra connector.</w:t>
      </w:r>
      <w:r>
        <w:t xml:space="preserve"> </w:t>
      </w:r>
      <w:r>
        <w:t xml:space="preserve">Entra’s prebuilt HR connectors are for Workday and SAP SuccessFactors.</w:t>
      </w:r>
      <w:r>
        <w:rPr>
          <w:rStyle w:val="FootnoteReference"/>
        </w:rPr>
        <w:footnoteReference w:id="18"/>
      </w:r>
      <w:r>
        <w:t xml:space="preserve"> </w:t>
      </w:r>
      <w:r>
        <w:t xml:space="preserve">Microsoft’s own Oracle HCM integration guidance</w:t>
      </w:r>
      <w:r>
        <w:t xml:space="preserve"> </w:t>
      </w:r>
      <w:r>
        <w:rPr>
          <w:i/>
          <w:iCs/>
        </w:rPr>
        <w:t xml:space="preserve">is</w:t>
      </w:r>
      <w:r>
        <w:t xml:space="preserve"> </w:t>
      </w:r>
      <w:r>
        <w:t xml:space="preserve">the API-driven pattern: CSV extracts for the initial load, ATOM feeds or HCM Extracts for deltas (or Oracle Integration Cloud where the agency subscribes to it), and optional writeback through Oracle’s SCIM APIs.</w:t>
      </w:r>
      <w:r>
        <w:rPr>
          <w:rStyle w:val="FootnoteReference"/>
        </w:rPr>
        <w:footnoteReference w:id="20"/>
      </w:r>
    </w:p>
    <w:p>
      <w:pPr>
        <w:pStyle w:val="Compact"/>
        <w:numPr>
          <w:ilvl w:val="0"/>
          <w:numId w:val="1001"/>
        </w:numPr>
      </w:pPr>
      <w:r>
        <w:rPr>
          <w:b/>
          <w:bCs/>
        </w:rPr>
        <w:t xml:space="preserve">The governed identity model is source-independent; each deployed source has an explicit contract and transformation.</w:t>
      </w:r>
      <w:r>
        <w:t xml:space="preserve"> </w:t>
      </w:r>
      <w:r>
        <w:t xml:space="preserve">The middleware normalizes any HR export into the same SCIM payload, so the</w:t>
      </w:r>
      <w:r>
        <w:t xml:space="preserve"> </w:t>
      </w:r>
      <w:r>
        <w:rPr>
          <w:rStyle w:val="VerbatimChar"/>
        </w:rPr>
        <w:t xml:space="preserve">/bulkUpload</w:t>
      </w:r>
      <w:r>
        <w:t xml:space="preserve"> </w:t>
      </w:r>
      <w:r>
        <w:t xml:space="preserve">call is identical whatever the source. If the source changes, the source contract and boundary transformation change; the governed identity model and downstream lifecycle policy remain stable.</w:t>
      </w:r>
    </w:p>
    <w:p>
      <w:pPr>
        <w:pStyle w:val="Compact"/>
        <w:numPr>
          <w:ilvl w:val="0"/>
          <w:numId w:val="1001"/>
        </w:numPr>
      </w:pPr>
      <w:r>
        <w:rPr>
          <w:b/>
          <w:bCs/>
        </w:rPr>
        <w:t xml:space="preserve">One entry point gives one provenance stream.</w:t>
      </w:r>
      <w:r>
        <w:t xml:space="preserve"> </w:t>
      </w:r>
      <w:r>
        <w:t xml:space="preserve">All inbound identity writes pass through a single provisioning surface, which is what makes lineage and drift detection tractable (Chapter 11).</w:t>
      </w:r>
    </w:p>
    <w:p>
      <w:pPr>
        <w:pStyle w:val="Compact"/>
        <w:numPr>
          <w:ilvl w:val="0"/>
          <w:numId w:val="1001"/>
        </w:numPr>
      </w:pPr>
      <w:r>
        <w:rPr>
          <w:b/>
          <w:bCs/>
        </w:rPr>
        <w:t xml:space="preserve">The procurement points the same way.</w:t>
      </w:r>
      <w:r>
        <w:t xml:space="preserve"> </w:t>
      </w:r>
      <w:r>
        <w:t xml:space="preserve">As Chapter 03 records from the solicitation, the Core HCM requirements checklist asks for SCIM 2.0 near-real-time provisioning, the protocol this pattern uses.</w:t>
      </w:r>
    </w:p>
    <w:p>
      <w:pPr>
        <w:pStyle w:val="FirstParagraph"/>
      </w:pPr>
      <w:r>
        <w:t xml:space="preserve">If Microsoft later ships a native Oracle HCM connector, it becomes an optimization inside this architecture, not a replacement for it.</w:t>
      </w:r>
    </w:p>
    <w:bookmarkEnd w:id="22"/>
    <w:bookmarkStart w:id="31" w:name="the-source-oracle-fusion-cloud-hcm"/>
    <w:p>
      <w:pPr>
        <w:pStyle w:val="Heading2"/>
      </w:pPr>
      <w:r>
        <w:t xml:space="preserve">The source: Oracle Fusion Cloud HCM</w:t>
      </w:r>
    </w:p>
    <w:p>
      <w:pPr>
        <w:pStyle w:val="TableCaption"/>
      </w:pPr>
      <w:r>
        <w:t xml:space="preserve">Oracle HCM source surfaces</w:t>
      </w:r>
    </w:p>
    <w:tbl>
      <w:tblPr>
        <w:tblStyle w:val="Table"/>
        <w:tblW w:type="pct" w:w="5000"/>
        <w:tblLayout w:type="fixed"/>
        <w:tblLook w:firstRow="1" w:lastRow="0" w:firstColumn="0" w:lastColumn="0" w:noHBand="0" w:noVBand="0" w:val="0020"/>
        <w:tblCaption w:val="Oracle HCM source surfaces"/>
      </w:tblPr>
      <w:tblGrid>
        <w:gridCol w:w="2640"/>
        <w:gridCol w:w="2640"/>
        <w:gridCol w:w="2640"/>
      </w:tblGrid>
      <w:tr>
        <w:trPr>
          <w:tblHeader w:val="on"/>
        </w:trPr>
        <w:tc>
          <w:tcPr/>
          <w:p>
            <w:pPr>
              <w:pStyle w:val="Compact"/>
            </w:pPr>
            <w:r>
              <w:t xml:space="preserve">Sync</w:t>
            </w:r>
          </w:p>
        </w:tc>
        <w:tc>
          <w:tcPr/>
          <w:p>
            <w:pPr>
              <w:pStyle w:val="Compact"/>
            </w:pPr>
            <w:r>
              <w:t xml:space="preserve">Mechanism</w:t>
            </w:r>
          </w:p>
        </w:tc>
        <w:tc>
          <w:tcPr/>
          <w:p>
            <w:pPr>
              <w:pStyle w:val="Compact"/>
            </w:pPr>
            <w:r>
              <w:t xml:space="preserve">Notes</w:t>
            </w:r>
          </w:p>
        </w:tc>
      </w:tr>
      <w:tr>
        <w:tc>
          <w:tcPr/>
          <w:p>
            <w:pPr>
              <w:pStyle w:val="Compact"/>
            </w:pPr>
            <w:r>
              <w:t xml:space="preserve">Initial / full</w:t>
            </w:r>
          </w:p>
        </w:tc>
        <w:tc>
          <w:tcPr/>
          <w:p>
            <w:pPr>
              <w:pStyle w:val="Compact"/>
            </w:pPr>
            <w:r>
              <w:t xml:space="preserve">HCM Extracts (or BI Publisher) to CSV</w:t>
            </w:r>
            <w:r>
              <w:rPr>
                <w:rStyle w:val="FootnoteReference"/>
              </w:rPr>
              <w:footnoteReference w:id="23"/>
            </w:r>
          </w:p>
        </w:tc>
        <w:tc>
          <w:tcPr/>
          <w:p>
            <w:pPr>
              <w:pStyle w:val="Compact"/>
            </w:pPr>
            <w:r>
              <w:t xml:space="preserve">Full worker population, scoped by the filter rules of Chapter 12, Phase 1</w:t>
            </w:r>
          </w:p>
        </w:tc>
      </w:tr>
      <w:tr>
        <w:tc>
          <w:tcPr/>
          <w:p>
            <w:pPr>
              <w:pStyle w:val="Compact"/>
            </w:pPr>
            <w:r>
              <w:t xml:space="preserve">Delta</w:t>
            </w:r>
          </w:p>
        </w:tc>
        <w:tc>
          <w:tcPr/>
          <w:p>
            <w:pPr>
              <w:pStyle w:val="Compact"/>
            </w:pPr>
            <w:r>
              <w:t xml:space="preserve">ATOM feeds:</w:t>
            </w:r>
            <w:r>
              <w:t xml:space="preserve"> </w:t>
            </w:r>
            <w:r>
              <w:rPr>
                <w:rStyle w:val="VerbatimChar"/>
              </w:rPr>
              <w:t xml:space="preserve">newhire</w:t>
            </w:r>
            <w:r>
              <w:t xml:space="preserve">,</w:t>
            </w:r>
            <w:r>
              <w:t xml:space="preserve"> </w:t>
            </w:r>
            <w:r>
              <w:rPr>
                <w:rStyle w:val="VerbatimChar"/>
              </w:rPr>
              <w:t xml:space="preserve">empassignment</w:t>
            </w:r>
            <w:r>
              <w:t xml:space="preserve">,</w:t>
            </w:r>
            <w:r>
              <w:t xml:space="preserve"> </w:t>
            </w:r>
            <w:r>
              <w:rPr>
                <w:rStyle w:val="VerbatimChar"/>
              </w:rPr>
              <w:t xml:space="preserve">empupdate</w:t>
            </w:r>
            <w:r>
              <w:t xml:space="preserve">,</w:t>
            </w:r>
            <w:r>
              <w:t xml:space="preserve"> </w:t>
            </w:r>
            <w:r>
              <w:rPr>
                <w:rStyle w:val="VerbatimChar"/>
              </w:rPr>
              <w:t xml:space="preserve">termination</w:t>
            </w:r>
            <w:r>
              <w:t xml:space="preserve">,</w:t>
            </w:r>
            <w:r>
              <w:t xml:space="preserve"> </w:t>
            </w:r>
            <w:r>
              <w:rPr>
                <w:rStyle w:val="VerbatimChar"/>
              </w:rPr>
              <w:t xml:space="preserve">cancelworkrelship</w:t>
            </w:r>
            <w:r>
              <w:t xml:space="preserve">,</w:t>
            </w:r>
            <w:r>
              <w:t xml:space="preserve"> </w:t>
            </w:r>
            <w:r>
              <w:rPr>
                <w:rStyle w:val="VerbatimChar"/>
              </w:rPr>
              <w:t xml:space="preserve">workrelshipupdate</w:t>
            </w:r>
            <w:r>
              <w:rPr>
                <w:rStyle w:val="FootnoteReference"/>
              </w:rPr>
              <w:footnoteReference w:id="25"/>
            </w:r>
          </w:p>
        </w:tc>
        <w:tc>
          <w:tcPr/>
          <w:p>
            <w:pPr>
              <w:pStyle w:val="Compact"/>
            </w:pPr>
            <w:r>
              <w:t xml:space="preserve">Turn on immediately after the initial sync; a gap loses changes</w:t>
            </w:r>
            <w:r>
              <w:rPr>
                <w:rStyle w:val="FootnoteReference"/>
              </w:rPr>
              <w:footnoteReference w:id="27"/>
            </w:r>
          </w:p>
        </w:tc>
      </w:tr>
      <w:tr>
        <w:tc>
          <w:tcPr/>
          <w:p>
            <w:pPr>
              <w:pStyle w:val="Compact"/>
            </w:pPr>
            <w:r>
              <w:t xml:space="preserve">Delta (alternative)</w:t>
            </w:r>
          </w:p>
        </w:tc>
        <w:tc>
          <w:tcPr/>
          <w:p>
            <w:pPr>
              <w:pStyle w:val="Compact"/>
            </w:pPr>
            <w:r>
              <w:t xml:space="preserve">Periodic HCM Extract deltas</w:t>
            </w:r>
          </w:p>
        </w:tc>
        <w:tc>
          <w:tcPr/>
          <w:p>
            <w:pPr>
              <w:pStyle w:val="Compact"/>
            </w:pPr>
            <w:r>
              <w:t xml:space="preserve">Simpler; latency equals the extract cadence</w:t>
            </w:r>
          </w:p>
        </w:tc>
      </w:tr>
      <w:tr>
        <w:tc>
          <w:tcPr/>
          <w:p>
            <w:pPr>
              <w:pStyle w:val="Compact"/>
            </w:pPr>
            <w:r>
              <w:t xml:space="preserve">Enrichment</w:t>
            </w:r>
          </w:p>
        </w:tc>
        <w:tc>
          <w:tcPr/>
          <w:p>
            <w:pPr>
              <w:pStyle w:val="Compact"/>
            </w:pPr>
            <w:r>
              <w:rPr>
                <w:rStyle w:val="VerbatimChar"/>
              </w:rPr>
              <w:t xml:space="preserve">workers</w:t>
            </w:r>
            <w:r>
              <w:t xml:space="preserve"> </w:t>
            </w:r>
            <w:r>
              <w:t xml:space="preserve">REST resource</w:t>
            </w:r>
          </w:p>
        </w:tc>
        <w:tc>
          <w:tcPr/>
          <w:p>
            <w:pPr>
              <w:pStyle w:val="Compact"/>
            </w:pPr>
            <w:r>
              <w:t xml:space="preserve">When a feed event doesn’t carry an attribute the payload needs. Microsoft’s guide also names the</w:t>
            </w:r>
            <w:r>
              <w:t xml:space="preserve"> </w:t>
            </w:r>
            <w:r>
              <w:rPr>
                <w:rStyle w:val="VerbatimChar"/>
              </w:rPr>
              <w:t xml:space="preserve">employees</w:t>
            </w:r>
            <w:r>
              <w:t xml:space="preserve"> </w:t>
            </w:r>
            <w:r>
              <w:t xml:space="preserve">(</w:t>
            </w:r>
            <w:r>
              <w:rPr>
                <w:rStyle w:val="VerbatimChar"/>
              </w:rPr>
              <w:t xml:space="preserve">emps</w:t>
            </w:r>
            <w:r>
              <w:t xml:space="preserve">) resource, but Oracle marks it for future deprecation and advises the</w:t>
            </w:r>
            <w:r>
              <w:t xml:space="preserve"> </w:t>
            </w:r>
            <w:r>
              <w:rPr>
                <w:rStyle w:val="VerbatimChar"/>
              </w:rPr>
              <w:t xml:space="preserve">workers</w:t>
            </w:r>
            <w:r>
              <w:t xml:space="preserve"> </w:t>
            </w:r>
            <w:r>
              <w:t xml:space="preserve">resource for new integrations</w:t>
            </w:r>
            <w:r>
              <w:rPr>
                <w:rStyle w:val="FootnoteReference"/>
              </w:rPr>
              <w:footnoteReference w:id="28"/>
            </w:r>
          </w:p>
        </w:tc>
      </w:tr>
    </w:tbl>
    <w:p>
      <w:pPr>
        <w:pStyle w:val="BodyText"/>
      </w:pPr>
      <w:r>
        <w:rPr>
          <w:b/>
          <w:bCs/>
        </w:rPr>
        <w:t xml:space="preserve">Source correlation key:</w:t>
      </w:r>
      <w:r>
        <w:t xml:space="preserve"> </w:t>
      </w:r>
      <w:r>
        <w:t xml:space="preserve">Oracle</w:t>
      </w:r>
      <w:r>
        <w:t xml:space="preserve"> </w:t>
      </w:r>
      <w:r>
        <w:rPr>
          <w:rStyle w:val="VerbatimChar"/>
        </w:rPr>
        <w:t xml:space="preserve">PersonNumber</w:t>
      </w:r>
      <w:r>
        <w:t xml:space="preserve"> </w:t>
      </w:r>
      <w:r>
        <w:t xml:space="preserve">to</w:t>
      </w:r>
      <w:r>
        <w:t xml:space="preserve"> </w:t>
      </w:r>
      <w:r>
        <w:rPr>
          <w:rStyle w:val="VerbatimChar"/>
        </w:rPr>
        <w:t xml:space="preserve">employeeId</w:t>
      </w:r>
      <w:r>
        <w:t xml:space="preserve"> </w:t>
      </w:r>
      <w:r>
        <w:t xml:space="preserve">in Entra ID and AD, subject to the enterprise identifier decision in Chapter 04. The employee ID must be populated on existing accounts</w:t>
      </w:r>
      <w:r>
        <w:t xml:space="preserve"> </w:t>
      </w:r>
      <w:r>
        <w:rPr>
          <w:b/>
          <w:bCs/>
        </w:rPr>
        <w:t xml:space="preserve">before</w:t>
      </w:r>
      <w:r>
        <w:t xml:space="preserve"> </w:t>
      </w:r>
      <w:r>
        <w:t xml:space="preserve">the first full sync; matching is what prevents duplicate identities at go-live.</w:t>
      </w:r>
    </w:p>
    <w:bookmarkEnd w:id="31"/>
    <w:bookmarkStart w:id="37" w:name="the-middleware-five-duties-per-event"/>
    <w:p>
      <w:pPr>
        <w:pStyle w:val="Heading2"/>
      </w:pPr>
      <w:r>
        <w:t xml:space="preserve">The middleware: five duties per event</w:t>
      </w:r>
    </w:p>
    <w:p>
      <w:pPr>
        <w:pStyle w:val="FirstParagraph"/>
      </w:pPr>
      <w:r>
        <w:t xml:space="preserve">Azure Functions or Logic Apps, inside the agency’s authorization boundary, doing five things for every event:</w:t>
      </w:r>
    </w:p>
    <w:p>
      <w:pPr>
        <w:pStyle w:val="Compact"/>
        <w:numPr>
          <w:ilvl w:val="0"/>
          <w:numId w:val="1002"/>
        </w:numPr>
      </w:pPr>
      <w:r>
        <w:rPr>
          <w:b/>
          <w:bCs/>
        </w:rPr>
        <w:t xml:space="preserve">Validate.</w:t>
      </w:r>
      <w:r>
        <w:t xml:space="preserve"> </w:t>
      </w:r>
      <w:r>
        <w:t xml:space="preserve">Required attributes present; unknown worker types refused. Fail closed.</w:t>
      </w:r>
    </w:p>
    <w:p>
      <w:pPr>
        <w:pStyle w:val="Compact"/>
        <w:numPr>
          <w:ilvl w:val="0"/>
          <w:numId w:val="1002"/>
        </w:numPr>
      </w:pPr>
      <w:r>
        <w:rPr>
          <w:b/>
          <w:bCs/>
        </w:rPr>
        <w:t xml:space="preserve">Sequence and retry.</w:t>
      </w:r>
      <w:r>
        <w:t xml:space="preserve"> </w:t>
      </w:r>
      <w:r>
        <w:t xml:space="preserve">Apply feed events in order and handle failures explicitly. An out-of-order mover/leaver pair is a correctness bug and a dropped event is a silent drift source. A failed transform retries and is recorded, never skipped.</w:t>
      </w:r>
    </w:p>
    <w:p>
      <w:pPr>
        <w:pStyle w:val="Compact"/>
        <w:numPr>
          <w:ilvl w:val="0"/>
          <w:numId w:val="1002"/>
        </w:numPr>
      </w:pPr>
      <w:r>
        <w:rPr>
          <w:b/>
          <w:bCs/>
        </w:rPr>
        <w:t xml:space="preserve">Normalize to SCIM.</w:t>
      </w:r>
      <w:r>
        <w:t xml:space="preserve"> </w:t>
      </w:r>
      <w:r>
        <w:t xml:space="preserve">Build the bulk request (</w:t>
      </w:r>
      <w:r>
        <w:rPr>
          <w:rStyle w:val="VerbatimChar"/>
        </w:rPr>
        <w:t xml:space="preserve">urn:ietf:params:scim:api:messages:2.0:BulkRequest</w:t>
      </w:r>
      <w:r>
        <w:t xml:space="preserve">) with the core and enterprise user schemas, plus a schema extension for any attribute the core schemas don’t carry.</w:t>
      </w:r>
      <w:r>
        <w:rPr>
          <w:rStyle w:val="FootnoteReference"/>
        </w:rPr>
        <w:footnoteReference w:id="32"/>
      </w:r>
      <w:r>
        <w:rPr>
          <w:rStyle w:val="FootnoteReference"/>
        </w:rPr>
        <w:footnoteReference w:id="33"/>
      </w:r>
      <w:r>
        <w:t xml:space="preserve"> </w:t>
      </w:r>
      <w:r>
        <w:t xml:space="preserve">The canonical payload is defined in Chapter 06.</w:t>
      </w:r>
    </w:p>
    <w:p>
      <w:pPr>
        <w:pStyle w:val="Compact"/>
        <w:numPr>
          <w:ilvl w:val="0"/>
          <w:numId w:val="1002"/>
        </w:numPr>
      </w:pPr>
      <w:r>
        <w:rPr>
          <w:b/>
          <w:bCs/>
        </w:rPr>
        <w:t xml:space="preserve">Write provenance.</w:t>
      </w:r>
      <w:r>
        <w:t xml:space="preserve"> </w:t>
      </w:r>
      <w:r>
        <w:t xml:space="preserve">One record per event (source event ID, payload hash, derivation inputs, outcome) to the agency’s evidence store, before the Graph call returns. No record, no verifiable outcome.</w:t>
      </w:r>
    </w:p>
    <w:p>
      <w:pPr>
        <w:pStyle w:val="Compact"/>
        <w:numPr>
          <w:ilvl w:val="0"/>
          <w:numId w:val="1002"/>
        </w:numPr>
      </w:pPr>
      <w:r>
        <w:rPr>
          <w:b/>
          <w:bCs/>
        </w:rPr>
        <w:t xml:space="preserve">Reconcile.</w:t>
      </w:r>
      <w:r>
        <w:t xml:space="preserve"> </w:t>
      </w:r>
      <w:r>
        <w:t xml:space="preserve">Read the provisioning logs for each submitted record and match the result to the source event. Transient failures retry with bounded, idempotent backoff; permanent failures become exceptions with an owner and an alternate completion path, and stay open until the directory reflects the source. A scheduled comparison of the HR population with the directories catches anything the per-event check missed (Chapter 11).</w:t>
      </w:r>
    </w:p>
    <w:p>
      <w:pPr>
        <w:pStyle w:val="FirstParagraph"/>
      </w:pPr>
      <w:r>
        <w:t xml:space="preserve">The middleware never writes back to the HR system’s HR-mastered facts. Send the complete user record in every request, for full and delta syncs alike: if clearing attribute values (a preview feature) is enabled, an omitted or null mapped attribute can clear the target value.</w:t>
      </w:r>
      <w:r>
        <w:rPr>
          <w:rStyle w:val="FootnoteReference"/>
        </w:rPr>
        <w:footnoteReference w:id="36"/>
      </w:r>
    </w:p>
    <w:bookmarkEnd w:id="37"/>
    <w:bookmarkStart w:id="49" w:name="the-bulkupload-contract"/>
    <w:p>
      <w:pPr>
        <w:pStyle w:val="Heading2"/>
      </w:pPr>
      <w:r>
        <w:t xml:space="preserve">The</w:t>
      </w:r>
      <w:r>
        <w:t xml:space="preserve"> </w:t>
      </w:r>
      <w:r>
        <w:rPr>
          <w:rStyle w:val="VerbatimChar"/>
        </w:rPr>
        <w:t xml:space="preserve">/bulkUpload</w:t>
      </w:r>
      <w:r>
        <w:t xml:space="preserve"> </w:t>
      </w:r>
      <w:r>
        <w:t xml:space="preserve">contract</w:t>
      </w:r>
    </w:p>
    <w:p>
      <w:pPr>
        <w:pStyle w:val="TableCaption"/>
      </w:pPr>
      <w:r>
        <w:t xml:space="preserve">The</w:t>
      </w:r>
      <w:r>
        <w:t xml:space="preserve"> </w:t>
      </w:r>
      <w:r>
        <w:rPr>
          <w:rStyle w:val="VerbatimChar"/>
        </w:rPr>
        <w:t xml:space="preserve">/bulkUpload</w:t>
      </w:r>
      <w:r>
        <w:t xml:space="preserve"> </w:t>
      </w:r>
      <w:r>
        <w:t xml:space="preserve">envelope</w:t>
      </w:r>
      <w:r>
        <w:rPr>
          <w:rStyle w:val="FootnoteReference"/>
        </w:rPr>
        <w:footnoteReference w:id="38"/>
      </w:r>
    </w:p>
    <w:tbl>
      <w:tblPr>
        <w:tblStyle w:val="Table"/>
        <w:tblW w:type="pct" w:w="5000"/>
        <w:tblLayout w:type="fixed"/>
        <w:tblLook w:firstRow="1" w:lastRow="0" w:firstColumn="0" w:lastColumn="0" w:noHBand="0" w:noVBand="0" w:val="0020"/>
        <w:tblCaption w:val="The /bulkUpload envelope"/>
      </w:tblPr>
      <w:tblGrid>
        <w:gridCol w:w="3960"/>
        <w:gridCol w:w="3960"/>
      </w:tblGrid>
      <w:tr>
        <w:trPr>
          <w:tblHeader w:val="on"/>
        </w:trPr>
        <w:tc>
          <w:tcPr/>
          <w:p>
            <w:pPr>
              <w:pStyle w:val="Compact"/>
            </w:pPr>
            <w:r>
              <w:t xml:space="preserve">Property</w:t>
            </w:r>
          </w:p>
        </w:tc>
        <w:tc>
          <w:tcPr/>
          <w:p>
            <w:pPr>
              <w:pStyle w:val="Compact"/>
            </w:pPr>
            <w:r>
              <w:t xml:space="preserve">Value</w:t>
            </w:r>
          </w:p>
        </w:tc>
      </w:tr>
      <w:tr>
        <w:tc>
          <w:tcPr/>
          <w:p>
            <w:pPr>
              <w:pStyle w:val="Compact"/>
            </w:pPr>
            <w:r>
              <w:t xml:space="preserve">Endpoint</w:t>
            </w:r>
          </w:p>
        </w:tc>
        <w:tc>
          <w:tcPr/>
          <w:p>
            <w:pPr>
              <w:pStyle w:val="Compact"/>
            </w:pPr>
            <w:r>
              <w:t xml:space="preserve">Microsoft Graph, worldwide endpoint</w:t>
            </w:r>
            <w:r>
              <w:t xml:space="preserve"> </w:t>
            </w:r>
            <w:r>
              <w:rPr>
                <w:rStyle w:val="VerbatimChar"/>
              </w:rPr>
              <w:t xml:space="preserve">graph.microsoft.com</w:t>
            </w:r>
            <w:r>
              <w:t xml:space="preserve"> </w:t>
            </w:r>
            <w:r>
              <w:t xml:space="preserve">(Microsoft 365 GCC tenants use the worldwide endpoints)</w:t>
            </w:r>
            <w:r>
              <w:rPr>
                <w:rStyle w:val="FootnoteReference"/>
              </w:rPr>
              <w:footnoteReference w:id="39"/>
            </w:r>
          </w:p>
        </w:tc>
      </w:tr>
      <w:tr>
        <w:tc>
          <w:tcPr/>
          <w:p>
            <w:pPr>
              <w:pStyle w:val="Compact"/>
            </w:pPr>
            <w:r>
              <w:t xml:space="preserve">Payload</w:t>
            </w:r>
          </w:p>
        </w:tc>
        <w:tc>
          <w:tcPr/>
          <w:p>
            <w:pPr>
              <w:pStyle w:val="Compact"/>
            </w:pPr>
            <w:r>
              <w:t xml:space="preserve">SCIM bulk request; up to 50 operations per call</w:t>
            </w:r>
          </w:p>
        </w:tc>
      </w:tr>
      <w:tr>
        <w:tc>
          <w:tcPr/>
          <w:p>
            <w:pPr>
              <w:pStyle w:val="Compact"/>
            </w:pPr>
            <w:r>
              <w:t xml:space="preserve">Throttling</w:t>
            </w:r>
          </w:p>
        </w:tc>
        <w:tc>
          <w:tcPr/>
          <w:p>
            <w:pPr>
              <w:pStyle w:val="Compact"/>
            </w:pPr>
            <w:r>
              <w:t xml:space="preserve">40 calls in any 5-second window, HTTP 429 beyond it, per the Entra concepts page; the Graph API reference states 40 requests per second.</w:t>
            </w:r>
            <w:r>
              <w:rPr>
                <w:rStyle w:val="FootnoteReference"/>
              </w:rPr>
              <w:footnoteReference w:id="41"/>
            </w:r>
            <w:r>
              <w:t xml:space="preserve"> </w:t>
            </w:r>
            <w:r>
              <w:t xml:space="preserve">The two Microsoft pages disagree, so pace the client to the stricter figure and handle 429 responses</w:t>
            </w:r>
          </w:p>
        </w:tc>
      </w:tr>
      <w:tr>
        <w:tc>
          <w:tcPr/>
          <w:p>
            <w:pPr>
              <w:pStyle w:val="Compact"/>
            </w:pPr>
            <w:r>
              <w:t xml:space="preserve">Tenant daily cap</w:t>
            </w:r>
          </w:p>
        </w:tc>
        <w:tc>
          <w:tcPr/>
          <w:p>
            <w:pPr>
              <w:pStyle w:val="Compact"/>
            </w:pPr>
            <w:r>
              <w:t xml:space="preserve">2,000 calls per 24 hours with Entra ID P1/P2; 6,000 with Entra ID Governance</w:t>
            </w:r>
          </w:p>
        </w:tc>
      </w:tr>
      <w:tr>
        <w:tc>
          <w:tcPr/>
          <w:p>
            <w:pPr>
              <w:pStyle w:val="Compact"/>
            </w:pPr>
            <w:r>
              <w:t xml:space="preserve">Graph permissions for the client</w:t>
            </w:r>
          </w:p>
        </w:tc>
        <w:tc>
          <w:tcPr/>
          <w:p>
            <w:pPr>
              <w:pStyle w:val="Compact"/>
            </w:pPr>
            <w:r>
              <w:rPr>
                <w:rStyle w:val="VerbatimChar"/>
              </w:rPr>
              <w:t xml:space="preserve">SynchronizationData-User.Upload</w:t>
            </w:r>
            <w:r>
              <w:t xml:space="preserve"> </w:t>
            </w:r>
            <w:r>
              <w:t xml:space="preserve">(Microsoft’s standard setup) or the least-privileged</w:t>
            </w:r>
            <w:r>
              <w:t xml:space="preserve"> </w:t>
            </w:r>
            <w:r>
              <w:rPr>
                <w:rStyle w:val="VerbatimChar"/>
              </w:rPr>
              <w:t xml:space="preserve">SynchronizationData-User.Upload.OwnedBy</w:t>
            </w:r>
            <w:r>
              <w:t xml:space="preserve">, which limits uploads to provisioning apps the client’s identity owns;</w:t>
            </w:r>
            <w:r>
              <w:rPr>
                <w:rStyle w:val="FootnoteReference"/>
              </w:rPr>
              <w:footnoteReference w:id="43"/>
            </w:r>
            <w:r>
              <w:rPr>
                <w:rStyle w:val="FootnoteReference"/>
              </w:rPr>
              <w:footnoteReference w:id="44"/>
            </w:r>
            <w:r>
              <w:t xml:space="preserve"> </w:t>
            </w:r>
            <w:r>
              <w:rPr>
                <w:rStyle w:val="VerbatimChar"/>
              </w:rPr>
              <w:t xml:space="preserve">ProvisioningLog.Read.All</w:t>
            </w:r>
            <w:r>
              <w:t xml:space="preserve"> </w:t>
            </w:r>
            <w:r>
              <w:t xml:space="preserve">for the component that reads per-record results</w:t>
            </w:r>
          </w:p>
        </w:tc>
      </w:tr>
      <w:tr>
        <w:tc>
          <w:tcPr/>
          <w:p>
            <w:pPr>
              <w:pStyle w:val="Compact"/>
            </w:pPr>
            <w:r>
              <w:t xml:space="preserve">Licensing floor</w:t>
            </w:r>
          </w:p>
        </w:tc>
        <w:tc>
          <w:tcPr/>
          <w:p>
            <w:pPr>
              <w:pStyle w:val="Compact"/>
            </w:pPr>
            <w:r>
              <w:t xml:space="preserve">Entra ID P1; Entra ID Governance for Lifecycle Workflows</w:t>
            </w:r>
          </w:p>
        </w:tc>
      </w:tr>
    </w:tbl>
    <w:p>
      <w:pPr>
        <w:pStyle w:val="BodyText"/>
      </w:pPr>
      <w:r>
        <w:t xml:space="preserve">Each endpoint belongs to one provisioning app, and an agency with several sources (HR for employees, a contractor system, a badging system that only updates attributes) creates one app per source.</w:t>
      </w:r>
      <w:r>
        <w:rPr>
          <w:rStyle w:val="FootnoteReference"/>
        </w:rPr>
        <w:footnoteReference w:id="46"/>
      </w:r>
      <w:r>
        <w:rPr>
          <w:rStyle w:val="FootnoteReference"/>
        </w:rPr>
        <w:footnoteReference w:id="47"/>
      </w:r>
    </w:p>
    <w:bookmarkEnd w:id="49"/>
    <w:bookmarkStart w:id="76" w:name="two-landing-zones"/>
    <w:p>
      <w:pPr>
        <w:pStyle w:val="Heading2"/>
      </w:pPr>
      <w:r>
        <w:t xml:space="preserve">Two landing zones</w:t>
      </w:r>
    </w:p>
    <w:p>
      <w:pPr>
        <w:pStyle w:val="FirstParagraph"/>
      </w:pPr>
      <w:r>
        <w:t xml:space="preserve">The same HR feed can land in two places, separately or at the same time — and which one a population uses changes as the agency moves from Active Directory to Entra ID:</w:t>
      </w:r>
    </w:p>
    <w:p>
      <w:pPr>
        <w:pStyle w:val="CaptionedFigure"/>
      </w:pPr>
      <w:r>
        <w:drawing>
          <wp:inline>
            <wp:extent cx="5334000" cy="2726064"/>
            <wp:effectExtent b="0" l="0" r="0" t="0"/>
            <wp:docPr descr="Two landing patterns across the Entra ID migration: while AD is the source of authority, HR lands users in AD and they sync to Entra ID; once a population’s source of authority moves to the cloud, HR lands users in Entra ID and any AD account an application still needs is provisioned from Entra ID." title="" id="51" name="Picture"/>
            <a:graphic>
              <a:graphicData uri="http://schemas.openxmlformats.org/drawingml/2006/picture">
                <pic:pic>
                  <pic:nvPicPr>
                    <pic:cNvPr descr="../../images/diagrams/b03-hr-identity/svg/ch05-two-patterns.sv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bwMode="auto">
                    <a:xfrm>
                      <a:off x="0" y="0"/>
                      <a:ext cx="5334000" cy="2726064"/>
                    </a:xfrm>
                    <a:prstGeom prst="rect">
                      <a:avLst/>
                    </a:prstGeom>
                    <a:noFill/>
                    <a:ln w="9525">
                      <a:noFill/>
                      <a:headEnd/>
                      <a:tailEnd/>
                    </a:ln>
                  </pic:spPr>
                </pic:pic>
              </a:graphicData>
            </a:graphic>
          </wp:inline>
        </w:drawing>
      </w:r>
    </w:p>
    <w:p>
      <w:pPr>
        <w:pStyle w:val="ImageCaption"/>
      </w:pPr>
      <w:r>
        <w:t xml:space="preserve">Two landing patterns across the Entra ID migration: while AD is the source of authority, HR lands users in AD and they sync to Entra ID; once a population’s source of authority moves to the cloud, HR lands users in Entra ID and any AD account an application still needs is provisioned from Entra ID.</w:t>
      </w:r>
    </w:p>
    <w:p>
      <w:pPr>
        <w:pStyle w:val="Compact"/>
        <w:numPr>
          <w:ilvl w:val="0"/>
          <w:numId w:val="1003"/>
        </w:numPr>
      </w:pPr>
      <w:r>
        <w:rPr>
          <w:b/>
          <w:bCs/>
        </w:rPr>
        <w:t xml:space="preserve">API-driven inbound provisioning to Microsoft Entra ID</w:t>
      </w:r>
      <w:r>
        <w:t xml:space="preserve"> </w:t>
      </w:r>
      <w:r>
        <w:t xml:space="preserve">creates cloud-only users directly.</w:t>
      </w:r>
    </w:p>
    <w:p>
      <w:pPr>
        <w:pStyle w:val="Compact"/>
        <w:numPr>
          <w:ilvl w:val="0"/>
          <w:numId w:val="1003"/>
        </w:numPr>
      </w:pPr>
      <w:r>
        <w:rPr>
          <w:b/>
          <w:bCs/>
        </w:rPr>
        <w:t xml:space="preserve">API-driven inbound provisioning to on-premises Active Directory</w:t>
      </w:r>
      <w:r>
        <w:t xml:space="preserve"> </w:t>
      </w:r>
      <w:r>
        <w:t xml:space="preserve">delivers the same payloads through the Microsoft Entra provisioning agent, which writes to AD DS from inside the agency network; Entra Connect Sync or Cloud Sync then projects the user to the cloud.</w:t>
      </w:r>
      <w:r>
        <w:rPr>
          <w:rStyle w:val="FootnoteReference"/>
        </w:rPr>
        <w:footnoteReference w:id="53"/>
      </w:r>
      <w:r>
        <w:rPr>
          <w:rStyle w:val="FootnoteReference"/>
        </w:rPr>
        <w:footnoteReference w:id="54"/>
      </w:r>
    </w:p>
    <w:bookmarkStart w:id="63" w:name="landing-in-active-directory"/>
    <w:p>
      <w:pPr>
        <w:pStyle w:val="Heading3"/>
      </w:pPr>
      <w:r>
        <w:t xml:space="preserve">Landing in Active Directory</w:t>
      </w:r>
    </w:p>
    <w:p>
      <w:pPr>
        <w:pStyle w:val="Compact"/>
        <w:numPr>
          <w:ilvl w:val="0"/>
          <w:numId w:val="1004"/>
        </w:numPr>
      </w:pPr>
      <w:r>
        <w:rPr>
          <w:b/>
          <w:bCs/>
        </w:rPr>
        <w:t xml:space="preserve">The OU is computed, not hand-picked.</w:t>
      </w:r>
      <w:r>
        <w:t xml:space="preserve"> </w:t>
      </w:r>
      <w:r>
        <w:t xml:space="preserve">An expression mapping on</w:t>
      </w:r>
      <w:r>
        <w:t xml:space="preserve"> </w:t>
      </w:r>
      <w:r>
        <w:rPr>
          <w:rStyle w:val="VerbatimChar"/>
        </w:rPr>
        <w:t xml:space="preserve">parentDistinguishedName</w:t>
      </w:r>
      <w:r>
        <w:t xml:space="preserve"> </w:t>
      </w:r>
      <w:r>
        <w:t xml:space="preserve">derives the destination domain and OU from HR attributes.</w:t>
      </w:r>
      <w:r>
        <w:rPr>
          <w:rStyle w:val="FootnoteReference"/>
        </w:rPr>
        <w:footnoteReference w:id="55"/>
      </w:r>
    </w:p>
    <w:p>
      <w:pPr>
        <w:pStyle w:val="Compact"/>
        <w:numPr>
          <w:ilvl w:val="0"/>
          <w:numId w:val="1004"/>
        </w:numPr>
      </w:pPr>
      <w:r>
        <w:rPr>
          <w:b/>
          <w:bCs/>
        </w:rPr>
        <w:t xml:space="preserve">The reporting line becomes a reference.</w:t>
      </w:r>
      <w:r>
        <w:t xml:space="preserve"> </w:t>
      </w:r>
      <w:r>
        <w:t xml:space="preserve">The provisioning service writes AD’s</w:t>
      </w:r>
      <w:r>
        <w:t xml:space="preserve"> </w:t>
      </w:r>
      <w:r>
        <w:rPr>
          <w:rStyle w:val="VerbatimChar"/>
        </w:rPr>
        <w:t xml:space="preserve">manager</w:t>
      </w:r>
      <w:r>
        <w:t xml:space="preserve"> </w:t>
      </w:r>
      <w:r>
        <w:t xml:space="preserve">attribute as a DN reference to the already-provisioned supervisor; for managers in another domain, Microsoft’s topologies either enable referral chasing on the provisioning agent (one app for the forest) or add a separate app that updates only</w:t>
      </w:r>
      <w:r>
        <w:t xml:space="preserve"> </w:t>
      </w:r>
      <w:r>
        <w:rPr>
          <w:rStyle w:val="VerbatimChar"/>
        </w:rPr>
        <w:t xml:space="preserve">manager</w:t>
      </w:r>
      <w:r>
        <w:t xml:space="preserve"> </w:t>
      </w:r>
      <w:r>
        <w:t xml:space="preserve">(one app per domain).</w:t>
      </w:r>
      <w:r>
        <w:rPr>
          <w:rStyle w:val="FootnoteReference"/>
        </w:rPr>
        <w:footnoteReference w:id="56"/>
      </w:r>
    </w:p>
    <w:p>
      <w:pPr>
        <w:pStyle w:val="Compact"/>
        <w:numPr>
          <w:ilvl w:val="0"/>
          <w:numId w:val="1004"/>
        </w:numPr>
      </w:pPr>
      <w:r>
        <w:rPr>
          <w:b/>
          <w:bCs/>
        </w:rPr>
        <w:t xml:space="preserve">High availability.</w:t>
      </w:r>
      <w:r>
        <w:t xml:space="preserve"> </w:t>
      </w:r>
      <w:r>
        <w:t xml:space="preserve">Deploy at least two provisioning agents, on servers with line of sight to the domain controllers;</w:t>
      </w:r>
      <w:r>
        <w:rPr>
          <w:rStyle w:val="FootnoteReference"/>
        </w:rPr>
        <w:footnoteReference w:id="57"/>
      </w:r>
      <w:r>
        <w:t xml:space="preserve"> </w:t>
      </w:r>
      <w:r>
        <w:t xml:space="preserve">Microsoft’s Cloud Sync prerequisites now recommend three active agents, on servers hardened as Tier 0 (control plane) assets.</w:t>
      </w:r>
      <w:r>
        <w:rPr>
          <w:rStyle w:val="FootnoteReference"/>
        </w:rPr>
        <w:footnoteReference w:id="58"/>
      </w:r>
      <w:r>
        <w:t xml:space="preserve"> </w:t>
      </w:r>
      <w:r>
        <w:t xml:space="preserve">The agent service runs as a group managed service account (gMSA); Domain or Enterprise Administrator credentials are needed once, to create it, not to run the agent.</w:t>
      </w:r>
      <w:r>
        <w:rPr>
          <w:rStyle w:val="FootnoteReference"/>
        </w:rPr>
        <w:footnoteReference w:id="60"/>
      </w:r>
      <w:r>
        <w:t xml:space="preserve"> </w:t>
      </w:r>
      <w:r>
        <w:t xml:space="preserve">Delegate the gMSA rights to the target OUs only.</w:t>
      </w:r>
    </w:p>
    <w:p>
      <w:pPr>
        <w:pStyle w:val="Compact"/>
        <w:numPr>
          <w:ilvl w:val="0"/>
          <w:numId w:val="1004"/>
        </w:numPr>
      </w:pPr>
      <w:r>
        <w:rPr>
          <w:b/>
          <w:bCs/>
        </w:rPr>
        <w:t xml:space="preserve">Termination reaches the domain controller.</w:t>
      </w:r>
      <w:r>
        <w:t xml:space="preserve"> </w:t>
      </w:r>
      <w:r>
        <w:t xml:space="preserve">The SCIM</w:t>
      </w:r>
      <w:r>
        <w:t xml:space="preserve"> </w:t>
      </w:r>
      <w:r>
        <w:rPr>
          <w:rStyle w:val="VerbatimChar"/>
        </w:rPr>
        <w:t xml:space="preserve">active</w:t>
      </w:r>
      <w:r>
        <w:t xml:space="preserve"> </w:t>
      </w:r>
      <w:r>
        <w:t xml:space="preserve">value maps to AD’s</w:t>
      </w:r>
      <w:r>
        <w:t xml:space="preserve"> </w:t>
      </w:r>
      <w:r>
        <w:rPr>
          <w:rStyle w:val="VerbatimChar"/>
        </w:rPr>
        <w:t xml:space="preserve">accountDisabled</w:t>
      </w:r>
      <w:r>
        <w:t xml:space="preserve">, so an HR termination disables the AD account, and the sync client carries that state to the cloud.</w:t>
      </w:r>
      <w:r>
        <w:rPr>
          <w:rStyle w:val="FootnoteReference"/>
        </w:rPr>
        <w:footnoteReference w:id="61"/>
      </w:r>
      <w:r>
        <w:rPr>
          <w:rStyle w:val="FootnoteReference"/>
        </w:rPr>
        <w:footnoteReference w:id="62"/>
      </w:r>
    </w:p>
    <w:p>
      <w:pPr>
        <w:pStyle w:val="FirstParagraph"/>
      </w:pPr>
      <w:r>
        <w:t xml:space="preserve">The caveat:</w:t>
      </w:r>
      <w:r>
        <w:t xml:space="preserve"> </w:t>
      </w:r>
      <w:r>
        <w:rPr>
          <w:b/>
          <w:bCs/>
        </w:rPr>
        <w:t xml:space="preserve">AD stores structure as place.</w:t>
      </w:r>
      <w:r>
        <w:t xml:space="preserve"> </w:t>
      </w:r>
      <w:r>
        <w:t xml:space="preserve">An OU is a container, and Group Policy that reads OU position inherits every reorganization. HR-driven provisioning keeps AD</w:t>
      </w:r>
      <w:r>
        <w:t xml:space="preserve"> </w:t>
      </w:r>
      <w:r>
        <w:rPr>
          <w:i/>
          <w:iCs/>
        </w:rPr>
        <w:t xml:space="preserve">correct</w:t>
      </w:r>
      <w:r>
        <w:t xml:space="preserve">; it can’t make AD attribute-native.</w:t>
      </w:r>
    </w:p>
    <w:bookmarkEnd w:id="63"/>
    <w:bookmarkStart w:id="70" w:name="landing-in-entra-id"/>
    <w:p>
      <w:pPr>
        <w:pStyle w:val="Heading3"/>
      </w:pPr>
      <w:r>
        <w:t xml:space="preserve">Landing in Entra ID</w:t>
      </w:r>
    </w:p>
    <w:p>
      <w:pPr>
        <w:pStyle w:val="FirstParagraph"/>
      </w:pPr>
      <w:r>
        <w:t xml:space="preserve">Entra ID has no OUs. The worker record lands as attributes, and structure becomes data:</w:t>
      </w:r>
      <w:r>
        <w:t xml:space="preserve"> </w:t>
      </w:r>
      <w:r>
        <w:rPr>
          <w:rStyle w:val="VerbatimChar"/>
        </w:rPr>
        <w:t xml:space="preserve">manager</w:t>
      </w:r>
      <w:r>
        <w:t xml:space="preserve"> </w:t>
      </w:r>
      <w:r>
        <w:t xml:space="preserve">(a directory relationship that drives the org chart in Teams and Outlook</w:t>
      </w:r>
      <w:r>
        <w:rPr>
          <w:rStyle w:val="FootnoteReference"/>
        </w:rPr>
        <w:footnoteReference w:id="64"/>
      </w:r>
      <w:r>
        <w:t xml:space="preserve"> </w:t>
      </w:r>
      <w:r>
        <w:t xml:space="preserve">and approval routing),</w:t>
      </w:r>
      <w:r>
        <w:t xml:space="preserve"> </w:t>
      </w: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 and</w:t>
      </w:r>
      <w:r>
        <w:t xml:space="preserve"> </w:t>
      </w:r>
      <w:r>
        <w:rPr>
          <w:rStyle w:val="VerbatimChar"/>
        </w:rPr>
        <w:t xml:space="preserve">employeeOrgData</w:t>
      </w:r>
      <w:r>
        <w:t xml:space="preserve"> </w:t>
      </w:r>
      <w:r>
        <w:t xml:space="preserve">(</w:t>
      </w:r>
      <w:r>
        <w:rPr>
          <w:rStyle w:val="VerbatimChar"/>
        </w:rPr>
        <w:t xml:space="preserve">division</w:t>
      </w:r>
      <w:r>
        <w:t xml:space="preserve">,</w:t>
      </w:r>
      <w:r>
        <w:t xml:space="preserve"> </w:t>
      </w:r>
      <w:r>
        <w:rPr>
          <w:rStyle w:val="VerbatimChar"/>
        </w:rPr>
        <w:t xml:space="preserve">costCenter</w:t>
      </w:r>
      <w:r>
        <w:t xml:space="preserve">).</w:t>
      </w:r>
      <w:r>
        <w:rPr>
          <w:rStyle w:val="FootnoteReference"/>
        </w:rPr>
        <w:footnoteReference w:id="66"/>
      </w:r>
      <w:r>
        <w:t xml:space="preserve"> </w:t>
      </w:r>
      <w:r>
        <w:t xml:space="preserve">Chapter 06 fixes which of these the agency uses and for what; Chapter 10 shows how they become access.</w:t>
      </w:r>
    </w:p>
    <w:p>
      <w:pPr>
        <w:pStyle w:val="TableCaption"/>
      </w:pPr>
      <w:r>
        <w:t xml:space="preserve">How each directory absorbs organizational structure</w:t>
      </w:r>
    </w:p>
    <w:tbl>
      <w:tblPr>
        <w:tblStyle w:val="Table"/>
        <w:tblW w:type="pct" w:w="5000"/>
        <w:tblLayout w:type="fixed"/>
        <w:tblLook w:firstRow="1" w:lastRow="0" w:firstColumn="0" w:lastColumn="0" w:noHBand="0" w:noVBand="0" w:val="0020"/>
        <w:tblCaption w:val="How each directory absorbs organizational structure"/>
      </w:tblPr>
      <w:tblGrid>
        <w:gridCol w:w="2640"/>
        <w:gridCol w:w="2640"/>
        <w:gridCol w:w="2640"/>
      </w:tblGrid>
      <w:tr>
        <w:trPr>
          <w:tblHeader w:val="on"/>
        </w:trPr>
        <w:tc>
          <w:tcPr/>
          <w:p>
            <w:pPr>
              <w:pStyle w:val="Compact"/>
            </w:pPr>
            <w:r>
              <w:t xml:space="preserve">Dimension</w:t>
            </w:r>
          </w:p>
        </w:tc>
        <w:tc>
          <w:tcPr/>
          <w:p>
            <w:pPr>
              <w:pStyle w:val="Compact"/>
            </w:pPr>
            <w:r>
              <w:t xml:space="preserve">Active Directory</w:t>
            </w:r>
          </w:p>
        </w:tc>
        <w:tc>
          <w:tcPr/>
          <w:p>
            <w:pPr>
              <w:pStyle w:val="Compact"/>
            </w:pPr>
            <w:r>
              <w:t xml:space="preserve">Entra ID</w:t>
            </w:r>
          </w:p>
        </w:tc>
      </w:tr>
      <w:tr>
        <w:tc>
          <w:tcPr/>
          <w:p>
            <w:pPr>
              <w:pStyle w:val="Compact"/>
            </w:pPr>
            <w:r>
              <w:t xml:space="preserve">Structural container</w:t>
            </w:r>
          </w:p>
        </w:tc>
        <w:tc>
          <w:tcPr/>
          <w:p>
            <w:pPr>
              <w:pStyle w:val="Compact"/>
            </w:pPr>
            <w:r>
              <w:t xml:space="preserve">OU tree: structure as place, which GPO reads</w:t>
            </w:r>
          </w:p>
        </w:tc>
        <w:tc>
          <w:tcPr/>
          <w:p>
            <w:pPr>
              <w:pStyle w:val="Compact"/>
            </w:pPr>
            <w:r>
              <w:t xml:space="preserve">None: structure as attributes, which policy reads through groups</w:t>
            </w:r>
          </w:p>
        </w:tc>
      </w:tr>
      <w:tr>
        <w:tc>
          <w:tcPr/>
          <w:p>
            <w:pPr>
              <w:pStyle w:val="Compact"/>
            </w:pPr>
            <w:r>
              <w:t xml:space="preserve">Reporting line</w:t>
            </w:r>
          </w:p>
        </w:tc>
        <w:tc>
          <w:tcPr/>
          <w:p>
            <w:pPr>
              <w:pStyle w:val="Compact"/>
            </w:pPr>
            <w:r>
              <w:rPr>
                <w:rStyle w:val="VerbatimChar"/>
              </w:rPr>
              <w:t xml:space="preserve">manager</w:t>
            </w:r>
            <w:r>
              <w:t xml:space="preserve"> </w:t>
            </w:r>
            <w:r>
              <w:t xml:space="preserve">DN reference</w:t>
            </w:r>
          </w:p>
        </w:tc>
        <w:tc>
          <w:tcPr/>
          <w:p>
            <w:pPr>
              <w:pStyle w:val="Compact"/>
            </w:pPr>
            <w:r>
              <w:rPr>
                <w:rStyle w:val="VerbatimChar"/>
              </w:rPr>
              <w:t xml:space="preserve">manager</w:t>
            </w:r>
            <w:r>
              <w:t xml:space="preserve"> </w:t>
            </w:r>
            <w:r>
              <w:t xml:space="preserve">relationship</w:t>
            </w:r>
          </w:p>
        </w:tc>
      </w:tr>
      <w:tr>
        <w:tc>
          <w:tcPr/>
          <w:p>
            <w:pPr>
              <w:pStyle w:val="Compact"/>
            </w:pPr>
            <w:r>
              <w:t xml:space="preserve">Org placement</w:t>
            </w:r>
          </w:p>
        </w:tc>
        <w:tc>
          <w:tcPr/>
          <w:p>
            <w:pPr>
              <w:pStyle w:val="Compact"/>
            </w:pPr>
            <w:r>
              <w:t xml:space="preserve">OU computed at provisioning (</w:t>
            </w:r>
            <w:r>
              <w:rPr>
                <w:rStyle w:val="VerbatimChar"/>
              </w:rPr>
              <w:t xml:space="preserve">parentDistinguishedName</w:t>
            </w:r>
            <w:r>
              <w:t xml:space="preserve">)</w:t>
            </w:r>
          </w:p>
        </w:tc>
        <w:tc>
          <w:tcPr/>
          <w:p>
            <w:pPr>
              <w:pStyle w:val="Compact"/>
            </w:pPr>
            <w:r>
              <w:rPr>
                <w:rStyle w:val="VerbatimChar"/>
              </w:rPr>
              <w:t xml:space="preserve">department</w:t>
            </w:r>
            <w:r>
              <w:t xml:space="preserve">,</w:t>
            </w:r>
            <w:r>
              <w:t xml:space="preserve"> </w:t>
            </w:r>
            <w:r>
              <w:rPr>
                <w:rStyle w:val="VerbatimChar"/>
              </w:rPr>
              <w:t xml:space="preserve">employeeOrgData</w:t>
            </w:r>
            <w:r>
              <w:t xml:space="preserve">, stamped</w:t>
            </w:r>
          </w:p>
        </w:tc>
      </w:tr>
      <w:tr>
        <w:tc>
          <w:tcPr/>
          <w:p>
            <w:pPr>
              <w:pStyle w:val="Compact"/>
            </w:pPr>
            <w:r>
              <w:t xml:space="preserve">Membership</w:t>
            </w:r>
          </w:p>
        </w:tc>
        <w:tc>
          <w:tcPr/>
          <w:p>
            <w:pPr>
              <w:pStyle w:val="Compact"/>
            </w:pPr>
            <w:r>
              <w:t xml:space="preserve">Static groups, manual or scripted</w:t>
            </w:r>
          </w:p>
        </w:tc>
        <w:tc>
          <w:tcPr/>
          <w:p>
            <w:pPr>
              <w:pStyle w:val="Compact"/>
            </w:pPr>
            <w:r>
              <w:t xml:space="preserve">Rules for dynamic membership, evaluated by the service</w:t>
            </w:r>
          </w:p>
        </w:tc>
      </w:tr>
      <w:tr>
        <w:tc>
          <w:tcPr/>
          <w:p>
            <w:pPr>
              <w:pStyle w:val="Compact"/>
            </w:pPr>
            <w:r>
              <w:t xml:space="preserve">Delegated admin</w:t>
            </w:r>
          </w:p>
        </w:tc>
        <w:tc>
          <w:tcPr/>
          <w:p>
            <w:pPr>
              <w:pStyle w:val="Compact"/>
            </w:pPr>
            <w:r>
              <w:t xml:space="preserve">OU ACL delegation</w:t>
            </w:r>
          </w:p>
        </w:tc>
        <w:tc>
          <w:tcPr/>
          <w:p>
            <w:pPr>
              <w:pStyle w:val="Compact"/>
            </w:pPr>
            <w:r>
              <w:t xml:space="preserve">Administrative units (flat; they can’t be nested)</w:t>
            </w:r>
            <w:r>
              <w:rPr>
                <w:rStyle w:val="FootnoteReference"/>
              </w:rPr>
              <w:footnoteReference w:id="68"/>
            </w:r>
          </w:p>
        </w:tc>
      </w:tr>
      <w:tr>
        <w:tc>
          <w:tcPr/>
          <w:p>
            <w:pPr>
              <w:pStyle w:val="Compact"/>
            </w:pPr>
            <w:r>
              <w:t xml:space="preserve">Reorganization cost</w:t>
            </w:r>
          </w:p>
        </w:tc>
        <w:tc>
          <w:tcPr/>
          <w:p>
            <w:pPr>
              <w:pStyle w:val="Compact"/>
            </w:pPr>
            <w:r>
              <w:t xml:space="preserve">OU restructure and GPO re-link: a project</w:t>
            </w:r>
          </w:p>
        </w:tc>
        <w:tc>
          <w:tcPr/>
          <w:p>
            <w:pPr>
              <w:pStyle w:val="Compact"/>
            </w:pPr>
            <w:r>
              <w:t xml:space="preserve">Attribute re-stamp and rule re-evaluation: a data change</w:t>
            </w:r>
          </w:p>
        </w:tc>
      </w:tr>
    </w:tbl>
    <w:p>
      <w:pPr>
        <w:pStyle w:val="BodyText"/>
      </w:pPr>
      <w:r>
        <w:t xml:space="preserve">During coexistence, provision both zones, read structure from attributes, and retire OU-bound policy deliberately (Chapter 12, Phase 5).</w:t>
      </w:r>
    </w:p>
    <w:bookmarkEnd w:id="70"/>
    <w:bookmarkStart w:id="75" w:name="over-the-entra-id-migration"/>
    <w:p>
      <w:pPr>
        <w:pStyle w:val="Heading3"/>
      </w:pPr>
      <w:r>
        <w:t xml:space="preserve">Over the Entra ID migration</w:t>
      </w:r>
    </w:p>
    <w:p>
      <w:pPr>
        <w:pStyle w:val="FirstParagraph"/>
      </w:pPr>
      <w:r>
        <w:t xml:space="preserve">Microsoft’s path to the cloud moves users’</w:t>
      </w:r>
      <w:r>
        <w:t xml:space="preserve"> </w:t>
      </w:r>
      <w:r>
        <w:rPr>
          <w:b/>
          <w:bCs/>
        </w:rPr>
        <w:t xml:space="preserve">source of authority</w:t>
      </w:r>
      <w:r>
        <w:t xml:space="preserve"> </w:t>
      </w:r>
      <w:r>
        <w:t xml:space="preserve">from Active Directory to Entra ID, after which the user lifecycle is governed in the cloud with Entra ID Governance; for users who still need on-premises access, provisioning from Entra ID to Active Directory maintains the AD account while Entra ID remains the source of authority.</w:t>
      </w:r>
      <w:r>
        <w:rPr>
          <w:rStyle w:val="FootnoteReference"/>
        </w:rPr>
        <w:footnoteReference w:id="71"/>
      </w:r>
      <w:r>
        <w:t xml:space="preserve"> </w:t>
      </w:r>
      <w:r>
        <w:t xml:space="preserve">Microsoft’s migration guidance makes the same split for HR: new employees who use only Entra-integrated applications can be provisioned as cloud-only accounts, and hybrid accounts are provisioned only where applications still depend on AD.</w:t>
      </w:r>
      <w:r>
        <w:rPr>
          <w:rStyle w:val="FootnoteReference"/>
        </w:rPr>
        <w:footnoteReference w:id="73"/>
      </w:r>
      <w:r>
        <w:t xml:space="preserve"> </w:t>
      </w:r>
      <w:r>
        <w:t xml:space="preserve">HR-driven provisioning and the directory migration therefore converge on one design, population by population: HR is the source of authority, Entra ID is the identity platform it drives, and Active Directory becomes a downstream target that shrinks as applications move.</w:t>
      </w:r>
    </w:p>
    <w:bookmarkEnd w:id="75"/>
    <w:bookmarkEnd w:id="76"/>
    <w:bookmarkStart w:id="77" w:name="native-connectors"/>
    <w:p>
      <w:pPr>
        <w:pStyle w:val="Heading2"/>
      </w:pPr>
      <w:r>
        <w:t xml:space="preserve">Native connectors</w:t>
      </w:r>
    </w:p>
    <w:p>
      <w:pPr>
        <w:pStyle w:val="FirstParagraph"/>
      </w:pPr>
      <w:r>
        <w:t xml:space="preserve">Where an HR source has a native connector (Workday, SAP SuccessFactors), it’s an acceptable accelerator. The API-driven pattern stays the reference implementation because it works for any source and because its middleware is where validation, provenance and reconciliation happen before the identity platform sees the record. A native connector bypasses that middleware, so those duties have to be supplied another way.</w:t>
      </w:r>
    </w:p>
    <w:bookmarkEnd w:id="77"/>
    <w:bookmarkStart w:id="88" w:name="X266d4d5a9494795d71b36e2d275e4c6bbec543b"/>
    <w:p>
      <w:pPr>
        <w:pStyle w:val="Heading2"/>
      </w:pPr>
      <w:r>
        <w:t xml:space="preserve">Writeback: optional and one-way per attribute</w:t>
      </w:r>
    </w:p>
    <w:p>
      <w:pPr>
        <w:pStyle w:val="FirstParagraph"/>
      </w:pPr>
      <w:r>
        <w:t xml:space="preserve">Once inbound provisioning is proven, an optional outbound job can write identity-platform-mastered attributes the HR system wants to display (username, work email, work phone) back to Oracle HCM through its SCIM APIs.</w:t>
      </w:r>
      <w:r>
        <w:rPr>
          <w:rStyle w:val="FootnoteReference"/>
        </w:rPr>
        <w:footnoteReference w:id="78"/>
      </w:r>
      <w:r>
        <w:rPr>
          <w:rStyle w:val="FootnoteReference"/>
        </w:rPr>
        <w:footnoteReference w:id="79"/>
      </w:r>
      <w:r>
        <w:t xml:space="preserve"> </w:t>
      </w:r>
      <w:r>
        <w:t xml:space="preserve">Microsoft’s guide builds that job on the Oracle Fusion ERP gallery connector, limited to the Update action, with every attribute the agency doesn’t intend to write back removed from the mapping.</w:t>
      </w:r>
      <w:r>
        <w:rPr>
          <w:rStyle w:val="FootnoteReference"/>
        </w:rPr>
        <w:footnoteReference w:id="81"/>
      </w:r>
      <w:r>
        <w:t xml:space="preserve"> </w:t>
      </w:r>
      <w:r>
        <w:t xml:space="preserve">Two rules keep it safe: no attribute is writable in both directions (Chapter 04), and nothing in the plan depends on writeback.</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3" name="Picture"/>
                  <a:graphic>
                    <a:graphicData uri="http://schemas.openxmlformats.org/drawingml/2006/picture">
                      <pic:pic>
                        <pic:nvPicPr>
                          <pic:cNvPr descr="/opt/quarto/share/formats/docx/tip.png" id="84" name="Picture"/>
                          <pic:cNvPicPr>
                            <a:picLocks noChangeArrowheads="1" noChangeAspect="1"/>
                          </pic:cNvPicPr>
                        </pic:nvPicPr>
                        <pic:blipFill>
                          <a:blip r:embed="rId8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5">
              <w:r>
                <w:rPr>
                  <w:rStyle w:val="Hyperlink"/>
                </w:rPr>
                <w:t xml:space="preserve">← Previous: Chapter 04 — Attribute Authority</w:t>
              </w:r>
            </w:hyperlink>
            <w:r>
              <w:t xml:space="preserve"> </w:t>
            </w:r>
            <w:r>
              <w:t xml:space="preserve">·</w:t>
            </w:r>
            <w:r>
              <w:t xml:space="preserve"> </w:t>
            </w:r>
            <w:hyperlink r:id="rId86">
              <w:r>
                <w:rPr>
                  <w:rStyle w:val="Hyperlink"/>
                </w:rPr>
                <w:t xml:space="preserve">Book index</w:t>
              </w:r>
            </w:hyperlink>
            <w:r>
              <w:t xml:space="preserve"> </w:t>
            </w:r>
            <w:r>
              <w:t xml:space="preserve">·</w:t>
            </w:r>
            <w:r>
              <w:t xml:space="preserve"> </w:t>
            </w:r>
            <w:hyperlink r:id="rId87">
              <w:r>
                <w:rPr>
                  <w:rStyle w:val="Hyperlink"/>
                </w:rPr>
                <w:t xml:space="preserve">Next: Chapter 06 — The Canonical Workforce Identity Model →</w:t>
              </w:r>
            </w:hyperlink>
          </w:p>
          <w:p/>
        </w:tc>
      </w:tr>
    </w:tbl>
    <w:bookmarkEnd w:id="88"/>
    <w:bookmarkEnd w:id="8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6">
        <w:r>
          <w:rPr>
            <w:rStyle w:val="Hyperlink"/>
          </w:rPr>
          <w:t xml:space="preserve">https://learn.microsoft.com/en-us/entra/identity/app-provisioning/inbound-provisioning-api-concepts</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19">
        <w:r>
          <w:rPr>
            <w:rStyle w:val="Hyperlink"/>
          </w:rPr>
          <w:t xml:space="preserve">https://learn.microsoft.com/en-us/entra/identity/app-provisioning/plan-cloud-hr-provision</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21">
        <w:r>
          <w:rPr>
            <w:rStyle w:val="Hyperlink"/>
          </w:rPr>
          <w:t xml:space="preserve">https://learn.microsoft.com/en-us/entra/identity/saas-apps/oracle-hcm-provisioning-tutorial</w:t>
        </w:r>
      </w:hyperlink>
      <w:r>
        <w:t xml:space="preserve"> </w:t>
      </w:r>
      <w:r>
        <w:t xml:space="preserve">(accessed Oct 20, 2026).</w:t>
      </w:r>
    </w:p>
  </w:footnote>
  <w:footnote w:id="23">
    <w:p>
      <w:pPr>
        <w:pStyle w:val="FootnoteText"/>
      </w:pPr>
      <w:r>
        <w:rPr>
          <w:rStyle w:val="FootnoteReference"/>
        </w:rPr>
        <w:footnoteRef/>
      </w:r>
      <w:r>
        <w:t xml:space="preserve"> </w:t>
      </w:r>
      <w:r>
        <w:t xml:space="preserve">Oracle,</w:t>
      </w:r>
      <w:r>
        <w:t xml:space="preserve"> </w:t>
      </w:r>
      <w:r>
        <w:rPr>
          <w:i/>
          <w:iCs/>
        </w:rPr>
        <w:t xml:space="preserve">Oracle Fusion Cloud HCM: HCM Extracts</w:t>
      </w:r>
      <w:r>
        <w:t xml:space="preserve">,</w:t>
      </w:r>
      <w:r>
        <w:t xml:space="preserve"> </w:t>
      </w:r>
      <w:r>
        <w:t xml:space="preserve">“Introduction to HCM Extracts”</w:t>
      </w:r>
      <w:r>
        <w:t xml:space="preserve"> </w:t>
      </w:r>
      <w:r>
        <w:t xml:space="preserve">(the main way to retrieve data in bulk; CSV among the output formats),</w:t>
      </w:r>
      <w:r>
        <w:t xml:space="preserve"> </w:t>
      </w:r>
      <w:hyperlink r:id="rId24">
        <w:r>
          <w:rPr>
            <w:rStyle w:val="Hyperlink"/>
          </w:rPr>
          <w:t xml:space="preserve">https://docs.oracle.com/en/cloud/saas/human-resources/fahex/introduction-to-hcm-extracts.html</w:t>
        </w:r>
      </w:hyperlink>
      <w:r>
        <w:t xml:space="preserve"> </w:t>
      </w:r>
      <w:r>
        <w:t xml:space="preserve">(accessed Oct 20, 2026).</w:t>
      </w:r>
    </w:p>
  </w:footnote>
  <w:footnote w:id="25">
    <w:p>
      <w:pPr>
        <w:pStyle w:val="FootnoteText"/>
      </w:pPr>
      <w:r>
        <w:rPr>
          <w:rStyle w:val="FootnoteReference"/>
        </w:rPr>
        <w:footnoteRef/>
      </w:r>
      <w:r>
        <w:t xml:space="preserve"> </w:t>
      </w:r>
      <w:r>
        <w:t xml:space="preserve">Oracle,</w:t>
      </w:r>
      <w:r>
        <w:t xml:space="preserve"> </w:t>
      </w:r>
      <w:r>
        <w:rPr>
          <w:i/>
          <w:iCs/>
        </w:rPr>
        <w:t xml:space="preserve">REST API for Oracle Fusion Cloud HCM</w:t>
      </w:r>
      <w:r>
        <w:t xml:space="preserve">,</w:t>
      </w:r>
      <w:r>
        <w:t xml:space="preserve"> </w:t>
      </w:r>
      <w:r>
        <w:t xml:space="preserve">“Employee Feeds,”</w:t>
      </w:r>
      <w:r>
        <w:t xml:space="preserve"> </w:t>
      </w:r>
      <w:hyperlink r:id="rId26">
        <w:r>
          <w:rPr>
            <w:rStyle w:val="Hyperlink"/>
          </w:rPr>
          <w:t xml:space="preserve">https://docs.oracle.com/en/cloud/saas/human-resources/farws/Employee_Atom_Feeds.html</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21">
        <w:r>
          <w:rPr>
            <w:rStyle w:val="Hyperlink"/>
          </w:rPr>
          <w:t xml:space="preserve">https://learn.microsoft.com/en-us/entra/identity/saas-apps/oracle-hcm-provisioning-tutorial</w:t>
        </w:r>
      </w:hyperlink>
      <w:r>
        <w:t xml:space="preserve"> </w:t>
      </w:r>
      <w:r>
        <w:t xml:space="preserve">(accessed Oct 20, 2026).</w:t>
      </w:r>
    </w:p>
  </w:footnote>
  <w:footnote w:id="28">
    <w:p>
      <w:pPr>
        <w:pStyle w:val="FootnoteText"/>
      </w:pPr>
      <w:r>
        <w:rPr>
          <w:rStyle w:val="FootnoteReference"/>
        </w:rPr>
        <w:footnoteRef/>
      </w:r>
      <w:r>
        <w:t xml:space="preserve"> </w:t>
      </w:r>
      <w:r>
        <w:t xml:space="preserve">Oracle,</w:t>
      </w:r>
      <w:r>
        <w:t xml:space="preserve"> </w:t>
      </w:r>
      <w:r>
        <w:rPr>
          <w:i/>
          <w:iCs/>
        </w:rPr>
        <w:t xml:space="preserve">REST API for Oracle Fusion Cloud HCM</w:t>
      </w:r>
      <w:r>
        <w:t xml:space="preserve">,</w:t>
      </w:r>
      <w:r>
        <w:t xml:space="preserve"> </w:t>
      </w:r>
      <w:r>
        <w:t xml:space="preserve">“Employees REST Endpoints”</w:t>
      </w:r>
      <w:r>
        <w:t xml:space="preserve"> </w:t>
      </w:r>
      <w:r>
        <w:t xml:space="preserve">(deprecation notice) and</w:t>
      </w:r>
      <w:r>
        <w:t xml:space="preserve"> </w:t>
      </w:r>
      <w:r>
        <w:t xml:space="preserve">“Workers REST Endpoints”</w:t>
      </w:r>
      <w:r>
        <w:t xml:space="preserve"> </w:t>
      </w:r>
      <w:r>
        <w:t xml:space="preserve">(employee, contingent worker and pending worker types),</w:t>
      </w:r>
      <w:r>
        <w:t xml:space="preserve"> </w:t>
      </w:r>
      <w:hyperlink r:id="rId29">
        <w:r>
          <w:rPr>
            <w:rStyle w:val="Hyperlink"/>
          </w:rPr>
          <w:t xml:space="preserve">https://docs.oracle.com/en/cloud/saas/human-resources/farws/api-employees.html</w:t>
        </w:r>
      </w:hyperlink>
      <w:r>
        <w:t xml:space="preserve"> </w:t>
      </w:r>
      <w:r>
        <w:t xml:space="preserve">and</w:t>
      </w:r>
      <w:r>
        <w:t xml:space="preserve"> </w:t>
      </w:r>
      <w:hyperlink r:id="rId30">
        <w:r>
          <w:rPr>
            <w:rStyle w:val="Hyperlink"/>
          </w:rPr>
          <w:t xml:space="preserve">https://docs.oracle.com/en/cloud/saas/human-resources/farws/api-workers.html</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6">
        <w:r>
          <w:rPr>
            <w:rStyle w:val="Hyperlink"/>
          </w:rPr>
          <w:t xml:space="preserve">https://learn.microsoft.com/en-us/entra/identity/app-provisioning/inbound-provisioning-api-concepts</w:t>
        </w:r>
      </w:hyperlink>
      <w:r>
        <w:t xml:space="preserve"> </w:t>
      </w:r>
      <w:r>
        <w:t xml:space="preserve">(accessed Oct 20, 2026).</w:t>
      </w:r>
    </w:p>
  </w:footnote>
  <w:footnote w:id="33">
    <w:p>
      <w:pPr>
        <w:pStyle w:val="FootnoteText"/>
      </w:pPr>
      <w:r>
        <w:rPr>
          <w:rStyle w:val="FootnoteReference"/>
        </w:rPr>
        <w:footnoteRef/>
      </w:r>
      <w:r>
        <w:t xml:space="preserve"> </w:t>
      </w:r>
      <w:r>
        <w:t xml:space="preserve">Internet Engineering Task Force, RFC 7644,</w:t>
      </w:r>
      <w:r>
        <w:t xml:space="preserve"> </w:t>
      </w:r>
      <w:r>
        <w:rPr>
          <w:i/>
          <w:iCs/>
        </w:rPr>
        <w:t xml:space="preserve">System for Cross-domain Identity Management: Protocol</w:t>
      </w:r>
      <w:r>
        <w:t xml:space="preserve">, September 2015, §3.7 (bulk operations),</w:t>
      </w:r>
      <w:r>
        <w:t xml:space="preserve"> </w:t>
      </w:r>
      <w:hyperlink r:id="rId34">
        <w:r>
          <w:rPr>
            <w:rStyle w:val="Hyperlink"/>
          </w:rPr>
          <w:t xml:space="preserve">https://www.rfc-editor.org/rfc/rfc7644</w:t>
        </w:r>
      </w:hyperlink>
      <w:r>
        <w:t xml:space="preserve">; and RFC 7643,</w:t>
      </w:r>
      <w:r>
        <w:t xml:space="preserve"> </w:t>
      </w:r>
      <w:r>
        <w:rPr>
          <w:i/>
          <w:iCs/>
        </w:rPr>
        <w:t xml:space="preserve">SCIM: Core Schema</w:t>
      </w:r>
      <w:r>
        <w:t xml:space="preserve">, September 2015, §4.3 (enterprise user extension),</w:t>
      </w:r>
      <w:r>
        <w:t xml:space="preserve"> </w:t>
      </w:r>
      <w:hyperlink r:id="rId35">
        <w:r>
          <w:rPr>
            <w:rStyle w:val="Hyperlink"/>
          </w:rPr>
          <w:t xml:space="preserve">https://www.rfc-editor.org/rfc/rfc7643</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6">
        <w:r>
          <w:rPr>
            <w:rStyle w:val="Hyperlink"/>
          </w:rPr>
          <w:t xml:space="preserve">https://learn.microsoft.com/en-us/entra/identity/app-provisioning/inbound-provisioning-api-concepts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6">
        <w:r>
          <w:rPr>
            <w:rStyle w:val="Hyperlink"/>
          </w:rPr>
          <w:t xml:space="preserve">https://learn.microsoft.com/en-us/entra/identity/app-provisioning/inbound-provisioning-api-concepts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“National cloud deployments”</w:t>
      </w:r>
      <w:r>
        <w:t xml:space="preserve"> </w:t>
      </w:r>
      <w:r>
        <w:t xml:space="preserve">(Microsoft Graph):</w:t>
      </w:r>
      <w:r>
        <w:t xml:space="preserve"> </w:t>
      </w:r>
      <w:r>
        <w:t xml:space="preserve">“If you’re working in a Microsoft 365 GCC environment, continue using the worldwide endpoints,”</w:t>
      </w:r>
      <w:r>
        <w:t xml:space="preserve"> </w:t>
      </w:r>
      <w:hyperlink r:id="rId40">
        <w:r>
          <w:rPr>
            <w:rStyle w:val="Hyperlink"/>
          </w:rPr>
          <w:t xml:space="preserve">https://learn.microsoft.com/en-us/graph/deployments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“Perform bulkUpload”</w:t>
      </w:r>
      <w:r>
        <w:t xml:space="preserve"> </w:t>
      </w:r>
      <w:r>
        <w:t xml:space="preserve">(Microsoft Graph v1.0 API reference: rate limit and permissions),</w:t>
      </w:r>
      <w:r>
        <w:t xml:space="preserve"> </w:t>
      </w:r>
      <w:hyperlink r:id="rId42">
        <w:r>
          <w:rPr>
            <w:rStyle w:val="Hyperlink"/>
          </w:rPr>
          <w:t xml:space="preserve">https://learn.microsoft.com/en-us/graph/api/synchronization-synchronizationjob-post-bulkupload</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“Perform bulkUpload”</w:t>
      </w:r>
      <w:r>
        <w:t xml:space="preserve"> </w:t>
      </w:r>
      <w:r>
        <w:t xml:space="preserve">(Microsoft Graph v1.0 API reference: rate limit and permissions),</w:t>
      </w:r>
      <w:r>
        <w:t xml:space="preserve"> </w:t>
      </w:r>
      <w:hyperlink r:id="rId42">
        <w:r>
          <w:rPr>
            <w:rStyle w:val="Hyperlink"/>
          </w:rPr>
          <w:t xml:space="preserve">https://learn.microsoft.com/en-us/graph/api/synchronization-synchronizationjob-post-bulkupload</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“Grant access to the inbound provisioning API,”</w:t>
      </w:r>
      <w:r>
        <w:t xml:space="preserve"> </w:t>
      </w:r>
      <w:hyperlink r:id="rId45">
        <w:r>
          <w:rPr>
            <w:rStyle w:val="Hyperlink"/>
          </w:rPr>
          <w:t xml:space="preserve">https://learn.microsoft.com/en-us/entra/identity/app-provisioning/inbound-provisioning-api-grant-access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6">
        <w:r>
          <w:rPr>
            <w:rStyle w:val="Hyperlink"/>
          </w:rPr>
          <w:t xml:space="preserve">https://learn.microsoft.com/en-us/entra/identity/app-provisioning/inbound-provisioning-api-concepts</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“Frequently asked questions about API-driven inbound provisioning,”</w:t>
      </w:r>
      <w:r>
        <w:t xml:space="preserve"> </w:t>
      </w:r>
      <w:hyperlink r:id="rId48">
        <w:r>
          <w:rPr>
            <w:rStyle w:val="Hyperlink"/>
          </w:rPr>
          <w:t xml:space="preserve">https://learn.microsoft.com/en-us/entra/identity/app-provisioning/inbound-provisioning-api-faqs</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hyperlink r:id="rId16">
        <w:r>
          <w:rPr>
            <w:rStyle w:val="Hyperlink"/>
          </w:rPr>
          <w:t xml:space="preserve">https://learn.microsoft.com/en-us/entra/identity/app-provisioning/inbound-provisioning-api-concepts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21">
        <w:r>
          <w:rPr>
            <w:rStyle w:val="Hyperlink"/>
          </w:rPr>
          <w:t xml:space="preserve">https://learn.microsoft.com/en-us/entra/identity/saas-apps/oracle-hcm-provisioning-tutorial</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19">
        <w:r>
          <w:rPr>
            <w:rStyle w:val="Hyperlink"/>
          </w:rPr>
          <w:t xml:space="preserve">https://learn.microsoft.com/en-us/entra/identity/app-provisioning/plan-cloud-hr-provision</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19">
        <w:r>
          <w:rPr>
            <w:rStyle w:val="Hyperlink"/>
          </w:rPr>
          <w:t xml:space="preserve">https://learn.microsoft.com/en-us/entra/identity/app-provisioning/plan-cloud-hr-provision</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19">
        <w:r>
          <w:rPr>
            <w:rStyle w:val="Hyperlink"/>
          </w:rPr>
          <w:t xml:space="preserve">https://learn.microsoft.com/en-us/entra/identity/app-provisioning/plan-cloud-hr-provision</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“Prerequisites for Microsoft Entra Cloud Sync”</w:t>
      </w:r>
      <w:r>
        <w:t xml:space="preserve"> </w:t>
      </w:r>
      <w:r>
        <w:t xml:space="preserve">(gMSA requirements; three active agents recommended; Tier 0 hardening),</w:t>
      </w:r>
      <w:r>
        <w:t xml:space="preserve"> </w:t>
      </w:r>
      <w:hyperlink r:id="rId59">
        <w:r>
          <w:rPr>
            <w:rStyle w:val="Hyperlink"/>
          </w:rPr>
          <w:t xml:space="preserve">https://learn.microsoft.com/en-us/entra/identity/hybrid/cloud-sync/how-to-prerequisites</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“Prerequisites for Microsoft Entra Cloud Sync”</w:t>
      </w:r>
      <w:r>
        <w:t xml:space="preserve"> </w:t>
      </w:r>
      <w:r>
        <w:t xml:space="preserve">(gMSA requirements; three active agents recommended; Tier 0 hardening),</w:t>
      </w:r>
      <w:r>
        <w:t xml:space="preserve"> </w:t>
      </w:r>
      <w:hyperlink r:id="rId59">
        <w:r>
          <w:rPr>
            <w:rStyle w:val="Hyperlink"/>
          </w:rPr>
          <w:t xml:space="preserve">https://learn.microsoft.com/en-us/entra/identity/hybrid/cloud-sync/how-to-prerequisites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21">
        <w:r>
          <w:rPr>
            <w:rStyle w:val="Hyperlink"/>
          </w:rPr>
          <w:t xml:space="preserve">https://learn.microsoft.com/en-us/entra/identity/saas-apps/oracle-hcm-provisioning-tutorial</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“Plan cloud HR application to Microsoft Entra user provisioning,”</w:t>
      </w:r>
      <w:r>
        <w:t xml:space="preserve"> </w:t>
      </w:r>
      <w:hyperlink r:id="rId19">
        <w:r>
          <w:rPr>
            <w:rStyle w:val="Hyperlink"/>
          </w:rPr>
          <w:t xml:space="preserve">https://learn.microsoft.com/en-us/entra/identity/app-provisioning/plan-cloud-hr-provision</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“Introducing Org Explorer”</w:t>
      </w:r>
      <w:r>
        <w:t xml:space="preserve"> </w:t>
      </w:r>
      <w:r>
        <w:t xml:space="preserve">(available in Teams and Outlook; org information comes from Microsoft Entra ID and needs the manager relationship),</w:t>
      </w:r>
      <w:r>
        <w:t xml:space="preserve"> </w:t>
      </w:r>
      <w:hyperlink r:id="rId65">
        <w:r>
          <w:rPr>
            <w:rStyle w:val="Hyperlink"/>
          </w:rPr>
          <w:t xml:space="preserve">https://learn.microsoft.com/en-us/viva/people-in-viva/introducing-org-explorer</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“user resource type”</w:t>
      </w:r>
      <w:r>
        <w:t xml:space="preserve"> </w:t>
      </w:r>
      <w:r>
        <w:t xml:space="preserve">(Microsoft Graph v1.0:</w:t>
      </w:r>
      <w:r>
        <w:t xml:space="preserve"> </w:t>
      </w:r>
      <w:r>
        <w:rPr>
          <w:rStyle w:val="VerbatimChar"/>
        </w:rPr>
        <w:t xml:space="preserve">employeeType</w:t>
      </w:r>
      <w:r>
        <w:t xml:space="preserve">,</w:t>
      </w:r>
      <w:r>
        <w:t xml:space="preserve"> </w:t>
      </w:r>
      <w:r>
        <w:rPr>
          <w:rStyle w:val="VerbatimChar"/>
        </w:rPr>
        <w:t xml:space="preserve">employeeHireDate</w:t>
      </w:r>
      <w:r>
        <w:t xml:space="preserve">,</w:t>
      </w:r>
      <w:r>
        <w:t xml:space="preserve"> </w:t>
      </w:r>
      <w:r>
        <w:rPr>
          <w:rStyle w:val="VerbatimChar"/>
        </w:rPr>
        <w:t xml:space="preserve">employeeLeaveDateTime</w:t>
      </w:r>
      <w:r>
        <w:t xml:space="preserve">,</w:t>
      </w:r>
      <w:r>
        <w:t xml:space="preserve"> </w:t>
      </w:r>
      <w:r>
        <w:rPr>
          <w:rStyle w:val="VerbatimChar"/>
        </w:rPr>
        <w:t xml:space="preserve">employeeOrgData</w:t>
      </w:r>
      <w:r>
        <w:t xml:space="preserve">),</w:t>
      </w:r>
      <w:r>
        <w:t xml:space="preserve"> </w:t>
      </w:r>
      <w:hyperlink r:id="rId67">
        <w:r>
          <w:rPr>
            <w:rStyle w:val="Hyperlink"/>
          </w:rPr>
          <w:t xml:space="preserve">https://learn.microsoft.com/en-us/graph/api/resources/user</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“Administrative units in Microsoft Entra ID,”</w:t>
      </w:r>
      <w:r>
        <w:t xml:space="preserve"> </w:t>
      </w:r>
      <w:hyperlink r:id="rId69">
        <w:r>
          <w:rPr>
            <w:rStyle w:val="Hyperlink"/>
          </w:rPr>
          <w:t xml:space="preserve">https://learn.microsoft.com/en-us/entra/identity/role-based-access-control/administrative-units</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“Transfer user Source of Authority (SOA) to Microsoft Entra ID,”</w:t>
      </w:r>
      <w:r>
        <w:t xml:space="preserve"> </w:t>
      </w:r>
      <w:hyperlink r:id="rId72">
        <w:r>
          <w:rPr>
            <w:rStyle w:val="Hyperlink"/>
          </w:rPr>
          <w:t xml:space="preserve">https://learn.microsoft.com/en-us/entra/identity/hybrid/user-source-of-authority-overview</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“Transition to the cloud”</w:t>
      </w:r>
      <w:r>
        <w:t xml:space="preserve"> </w:t>
      </w:r>
      <w:r>
        <w:t xml:space="preserve">(Move to cloud HR provisioning),</w:t>
      </w:r>
      <w:r>
        <w:t xml:space="preserve"> </w:t>
      </w:r>
      <w:hyperlink r:id="rId74">
        <w:r>
          <w:rPr>
            <w:rStyle w:val="Hyperlink"/>
          </w:rPr>
          <w:t xml:space="preserve">https://learn.microsoft.com/en-us/entra/architecture/road-to-the-cloud-migrate</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21">
        <w:r>
          <w:rPr>
            <w:rStyle w:val="Hyperlink"/>
          </w:rPr>
          <w:t xml:space="preserve">https://learn.microsoft.com/en-us/entra/identity/saas-apps/oracle-hcm-provisioning-tutorial</w:t>
        </w:r>
      </w:hyperlink>
      <w:r>
        <w:t xml:space="preserve"> </w:t>
      </w:r>
      <w:r>
        <w:t xml:space="preserve">(accessed Oct 20, 2026).</w:t>
      </w:r>
    </w:p>
  </w:footnote>
  <w:footnote w:id="79">
    <w:p>
      <w:pPr>
        <w:pStyle w:val="FootnoteText"/>
      </w:pPr>
      <w:r>
        <w:rPr>
          <w:rStyle w:val="FootnoteReference"/>
        </w:rPr>
        <w:footnoteRef/>
      </w:r>
      <w:r>
        <w:t xml:space="preserve"> </w:t>
      </w:r>
      <w:r>
        <w:t xml:space="preserve">Oracle,</w:t>
      </w:r>
      <w:r>
        <w:t xml:space="preserve"> </w:t>
      </w:r>
      <w:r>
        <w:rPr>
          <w:i/>
          <w:iCs/>
        </w:rPr>
        <w:t xml:space="preserve">REST API for Common Features in Oracle Fusion Cloud Applications</w:t>
      </w:r>
      <w:r>
        <w:t xml:space="preserve">,</w:t>
      </w:r>
      <w:r>
        <w:t xml:space="preserve"> </w:t>
      </w:r>
      <w:r>
        <w:t xml:space="preserve">“Get all users”</w:t>
      </w:r>
      <w:r>
        <w:t xml:space="preserve"> </w:t>
      </w:r>
      <w:r>
        <w:t xml:space="preserve">(</w:t>
      </w:r>
      <w:r>
        <w:rPr>
          <w:rStyle w:val="VerbatimChar"/>
        </w:rPr>
        <w:t xml:space="preserve">/hcmRestApi/scim/Users</w:t>
      </w:r>
      <w:r>
        <w:t xml:space="preserve">),</w:t>
      </w:r>
      <w:r>
        <w:t xml:space="preserve"> </w:t>
      </w:r>
      <w:hyperlink r:id="rId80">
        <w:r>
          <w:rPr>
            <w:rStyle w:val="Hyperlink"/>
          </w:rPr>
          <w:t xml:space="preserve">https://docs.oracle.com/en/cloud/saas/applications-common/25d/farca/op-hcmrestapi-scim-users-get.html</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21">
        <w:r>
          <w:rPr>
            <w:rStyle w:val="Hyperlink"/>
          </w:rPr>
          <w:t xml:space="preserve">https://learn.microsoft.com/en-us/entra/identity/saas-apps/oracle-hcm-provisioning-tutorial</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50" Target="media/rId50.svg" /><Relationship Type="http://schemas.openxmlformats.org/officeDocument/2006/relationships/image" Id="rId9" Target="media/rId9.png" /><Relationship Type="http://schemas.openxmlformats.org/officeDocument/2006/relationships/image" Id="rId82" Target="media/rId82.png" /><Relationship Type="http://schemas.openxmlformats.org/officeDocument/2006/relationships/hyperlink" Id="rId85" Target="04-attribute-authority.md" TargetMode="External" /><Relationship Type="http://schemas.openxmlformats.org/officeDocument/2006/relationships/hyperlink" Id="rId87" Target="06-canonical-attribute-schema.md" TargetMode="External" /><Relationship Type="http://schemas.openxmlformats.org/officeDocument/2006/relationships/hyperlink" Id="rId80" Target="https://docs.oracle.com/en/cloud/saas/applications-common/25d/farca/op-hcmrestapi-scim-users-get.html" TargetMode="External" /><Relationship Type="http://schemas.openxmlformats.org/officeDocument/2006/relationships/hyperlink" Id="rId24" Target="https://docs.oracle.com/en/cloud/saas/human-resources/fahex/introduction-to-hcm-extracts.html" TargetMode="External" /><Relationship Type="http://schemas.openxmlformats.org/officeDocument/2006/relationships/hyperlink" Id="rId26" Target="https://docs.oracle.com/en/cloud/saas/human-resources/farws/Employee_Atom_Feeds.html" TargetMode="External" /><Relationship Type="http://schemas.openxmlformats.org/officeDocument/2006/relationships/hyperlink" Id="rId29" Target="https://docs.oracle.com/en/cloud/saas/human-resources/farws/api-employees.html" TargetMode="External" /><Relationship Type="http://schemas.openxmlformats.org/officeDocument/2006/relationships/hyperlink" Id="rId30" Target="https://docs.oracle.com/en/cloud/saas/human-resources/farws/api-workers.html" TargetMode="External" /><Relationship Type="http://schemas.openxmlformats.org/officeDocument/2006/relationships/hyperlink" Id="rId74" Target="https://learn.microsoft.com/en-us/entra/architecture/road-to-the-cloud-migrate" TargetMode="External" /><Relationship Type="http://schemas.openxmlformats.org/officeDocument/2006/relationships/hyperlink" Id="rId16" Target="https://learn.microsoft.com/en-us/entra/identity/app-provisioning/inbound-provisioning-api-concepts" TargetMode="External" /><Relationship Type="http://schemas.openxmlformats.org/officeDocument/2006/relationships/hyperlink" Id="rId48" Target="https://learn.microsoft.com/en-us/entra/identity/app-provisioning/inbound-provisioning-api-faqs" TargetMode="External" /><Relationship Type="http://schemas.openxmlformats.org/officeDocument/2006/relationships/hyperlink" Id="rId45" Target="https://learn.microsoft.com/en-us/entra/identity/app-provisioning/inbound-provisioning-api-grant-access" TargetMode="External" /><Relationship Type="http://schemas.openxmlformats.org/officeDocument/2006/relationships/hyperlink" Id="rId19" Target="https://learn.microsoft.com/en-us/entra/identity/app-provisioning/plan-cloud-hr-provision" TargetMode="External" /><Relationship Type="http://schemas.openxmlformats.org/officeDocument/2006/relationships/hyperlink" Id="rId59" Target="https://learn.microsoft.com/en-us/entra/identity/hybrid/cloud-sync/how-to-prerequisites" TargetMode="External" /><Relationship Type="http://schemas.openxmlformats.org/officeDocument/2006/relationships/hyperlink" Id="rId72" Target="https://learn.microsoft.com/en-us/entra/identity/hybrid/user-source-of-authority-overview" TargetMode="External" /><Relationship Type="http://schemas.openxmlformats.org/officeDocument/2006/relationships/hyperlink" Id="rId69" Target="https://learn.microsoft.com/en-us/entra/identity/role-based-access-control/administrative-units" TargetMode="External" /><Relationship Type="http://schemas.openxmlformats.org/officeDocument/2006/relationships/hyperlink" Id="rId21" Target="https://learn.microsoft.com/en-us/entra/identity/saas-apps/oracle-hcm-provisioning-tutorial" TargetMode="External" /><Relationship Type="http://schemas.openxmlformats.org/officeDocument/2006/relationships/hyperlink" Id="rId67" Target="https://learn.microsoft.com/en-us/graph/api/resources/user" TargetMode="External" /><Relationship Type="http://schemas.openxmlformats.org/officeDocument/2006/relationships/hyperlink" Id="rId42" Target="https://learn.microsoft.com/en-us/graph/api/synchronization-synchronizationjob-post-bulkupload" TargetMode="External" /><Relationship Type="http://schemas.openxmlformats.org/officeDocument/2006/relationships/hyperlink" Id="rId40" Target="https://learn.microsoft.com/en-us/graph/deployments" TargetMode="External" /><Relationship Type="http://schemas.openxmlformats.org/officeDocument/2006/relationships/hyperlink" Id="rId65" Target="https://learn.microsoft.com/en-us/viva/people-in-viva/introducing-org-explorer" TargetMode="External" /><Relationship Type="http://schemas.openxmlformats.org/officeDocument/2006/relationships/hyperlink" Id="rId35" Target="https://www.rfc-editor.org/rfc/rfc7643" TargetMode="External" /><Relationship Type="http://schemas.openxmlformats.org/officeDocument/2006/relationships/hyperlink" Id="rId34" Target="https://www.rfc-editor.org/rfc/rfc7644" TargetMode="External" /><Relationship Type="http://schemas.openxmlformats.org/officeDocument/2006/relationships/hyperlink" Id="rId86" Target="index.md" TargetMode="External" /></Relationships>
</file>

<file path=word/_rels/footnotes.xml.rels><?xml version="1.0" encoding="UTF-8"?><Relationships xmlns="http://schemas.openxmlformats.org/package/2006/relationships"><Relationship Type="http://schemas.openxmlformats.org/officeDocument/2006/relationships/hyperlink" Id="rId85" Target="04-attribute-authority.md" TargetMode="External" /><Relationship Type="http://schemas.openxmlformats.org/officeDocument/2006/relationships/hyperlink" Id="rId87" Target="06-canonical-attribute-schema.md" TargetMode="External" /><Relationship Type="http://schemas.openxmlformats.org/officeDocument/2006/relationships/hyperlink" Id="rId80" Target="https://docs.oracle.com/en/cloud/saas/applications-common/25d/farca/op-hcmrestapi-scim-users-get.html" TargetMode="External" /><Relationship Type="http://schemas.openxmlformats.org/officeDocument/2006/relationships/hyperlink" Id="rId24" Target="https://docs.oracle.com/en/cloud/saas/human-resources/fahex/introduction-to-hcm-extracts.html" TargetMode="External" /><Relationship Type="http://schemas.openxmlformats.org/officeDocument/2006/relationships/hyperlink" Id="rId26" Target="https://docs.oracle.com/en/cloud/saas/human-resources/farws/Employee_Atom_Feeds.html" TargetMode="External" /><Relationship Type="http://schemas.openxmlformats.org/officeDocument/2006/relationships/hyperlink" Id="rId29" Target="https://docs.oracle.com/en/cloud/saas/human-resources/farws/api-employees.html" TargetMode="External" /><Relationship Type="http://schemas.openxmlformats.org/officeDocument/2006/relationships/hyperlink" Id="rId30" Target="https://docs.oracle.com/en/cloud/saas/human-resources/farws/api-workers.html" TargetMode="External" /><Relationship Type="http://schemas.openxmlformats.org/officeDocument/2006/relationships/hyperlink" Id="rId74" Target="https://learn.microsoft.com/en-us/entra/architecture/road-to-the-cloud-migrate" TargetMode="External" /><Relationship Type="http://schemas.openxmlformats.org/officeDocument/2006/relationships/hyperlink" Id="rId16" Target="https://learn.microsoft.com/en-us/entra/identity/app-provisioning/inbound-provisioning-api-concepts" TargetMode="External" /><Relationship Type="http://schemas.openxmlformats.org/officeDocument/2006/relationships/hyperlink" Id="rId48" Target="https://learn.microsoft.com/en-us/entra/identity/app-provisioning/inbound-provisioning-api-faqs" TargetMode="External" /><Relationship Type="http://schemas.openxmlformats.org/officeDocument/2006/relationships/hyperlink" Id="rId45" Target="https://learn.microsoft.com/en-us/entra/identity/app-provisioning/inbound-provisioning-api-grant-access" TargetMode="External" /><Relationship Type="http://schemas.openxmlformats.org/officeDocument/2006/relationships/hyperlink" Id="rId19" Target="https://learn.microsoft.com/en-us/entra/identity/app-provisioning/plan-cloud-hr-provision" TargetMode="External" /><Relationship Type="http://schemas.openxmlformats.org/officeDocument/2006/relationships/hyperlink" Id="rId59" Target="https://learn.microsoft.com/en-us/entra/identity/hybrid/cloud-sync/how-to-prerequisites" TargetMode="External" /><Relationship Type="http://schemas.openxmlformats.org/officeDocument/2006/relationships/hyperlink" Id="rId72" Target="https://learn.microsoft.com/en-us/entra/identity/hybrid/user-source-of-authority-overview" TargetMode="External" /><Relationship Type="http://schemas.openxmlformats.org/officeDocument/2006/relationships/hyperlink" Id="rId69" Target="https://learn.microsoft.com/en-us/entra/identity/role-based-access-control/administrative-units" TargetMode="External" /><Relationship Type="http://schemas.openxmlformats.org/officeDocument/2006/relationships/hyperlink" Id="rId21" Target="https://learn.microsoft.com/en-us/entra/identity/saas-apps/oracle-hcm-provisioning-tutorial" TargetMode="External" /><Relationship Type="http://schemas.openxmlformats.org/officeDocument/2006/relationships/hyperlink" Id="rId67" Target="https://learn.microsoft.com/en-us/graph/api/resources/user" TargetMode="External" /><Relationship Type="http://schemas.openxmlformats.org/officeDocument/2006/relationships/hyperlink" Id="rId42" Target="https://learn.microsoft.com/en-us/graph/api/synchronization-synchronizationjob-post-bulkupload" TargetMode="External" /><Relationship Type="http://schemas.openxmlformats.org/officeDocument/2006/relationships/hyperlink" Id="rId40" Target="https://learn.microsoft.com/en-us/graph/deployments" TargetMode="External" /><Relationship Type="http://schemas.openxmlformats.org/officeDocument/2006/relationships/hyperlink" Id="rId65" Target="https://learn.microsoft.com/en-us/viva/people-in-viva/introducing-org-explorer" TargetMode="External" /><Relationship Type="http://schemas.openxmlformats.org/officeDocument/2006/relationships/hyperlink" Id="rId35" Target="https://www.rfc-editor.org/rfc/rfc7643" TargetMode="External" /><Relationship Type="http://schemas.openxmlformats.org/officeDocument/2006/relationships/hyperlink" Id="rId34" Target="https://www.rfc-editor.org/rfc/rfc7644" TargetMode="External" /><Relationship Type="http://schemas.openxmlformats.org/officeDocument/2006/relationships/hyperlink" Id="rId86"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05 — Provisioning Services</dc:title>
  <dc:creator/>
  <dc:description>Provisioning services end to end, with API-driven inbound provisioning as the Microsoft implementation: the Oracle HCM source surfaces, the five middleware duties, the bulkUpload contract and its limits, the two landing zones (Active Directory through the provisioning agent, Entra ID directly), native connectors, and one-way writeback.</dc:description>
  <cp:keywords/>
  <dcterms:created xsi:type="dcterms:W3CDTF">2026-10-20T23:25:16Z</dcterms:created>
  <dcterms:modified xsi:type="dcterms:W3CDTF">2026-10-20T23:25:16Z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5</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