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svg" ContentType="image/svg+xml"/>
  <Override PartName="/word/media/rId36.svg" ContentType="image/svg+xml"/>
  <Override PartName="/word/media/rId9.png" ContentType="image/png"/>
  <Override PartName="/word/media/rId6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08 — Joiner, Mover, Leaver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73" w:name="chapter-08-joiner-mover-leaver"/>
    <w:p>
      <w:pPr>
        <w:pStyle w:val="Heading1"/>
      </w:pPr>
      <w:r>
        <w:t xml:space="preserve">Chapter 08 — Joiner, Mover, Leaver</w:t>
      </w:r>
    </w:p>
    <w:p>
      <w:pPr>
        <w:pStyle w:val="FirstParagraph"/>
      </w:pPr>
      <w:r>
        <w:rPr>
          <w:i/>
          <w:iCs/>
        </w:rPr>
        <w:t xml:space="preserve">Nobody requests an account for a new hire. The hire causes it.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 this chapter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five events a worker record goes through and what each one causes in the directory. The personnel-action codes that trigger them. The division of labor between inbound provisioning and Lifecycle Workflows. Triggers, schedules and built-in tasks. Emergency termination, rehire, conversion and deletion. The leaver sequence itself, including credentials, is in Chapter 09.</w:t>
            </w:r>
          </w:p>
          <w:p/>
        </w:tc>
      </w:tr>
    </w:tbl>
    <w:bookmarkStart w:id="14" w:name="the-lifecycle-is-an-event-stream"/>
    <w:p>
      <w:pPr>
        <w:pStyle w:val="Heading2"/>
      </w:pPr>
      <w:r>
        <w:t xml:space="preserve">The lifecycle is an event stream</w:t>
      </w:r>
    </w:p>
    <w:p>
      <w:pPr>
        <w:pStyle w:val="FirstParagraph"/>
      </w:pPr>
      <w:r>
        <w:t xml:space="preserve">Joiner, mover and leaver, plus the two transitions estates forget until they hurt,</w:t>
      </w:r>
      <w:r>
        <w:t xml:space="preserve"> </w:t>
      </w:r>
      <w:r>
        <w:rPr>
          <w:b/>
          <w:bCs/>
        </w:rPr>
        <w:t xml:space="preserve">rehire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conversion</w:t>
      </w:r>
      <w:r>
        <w:t xml:space="preserve"> </w:t>
      </w:r>
      <w:r>
        <w:t xml:space="preserve">(contractor to employee), are the five state changes a worker record goes through. Each is recorded in the HR system as an effective-dated event, and each maps to a fixed set of identity actions:</w:t>
      </w:r>
    </w:p>
    <w:p>
      <w:pPr>
        <w:pStyle w:val="TableCaption"/>
      </w:pPr>
      <w:r>
        <w:t xml:space="preserve">The five lifecycle events and the identity actions they cause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The five lifecycle events and the identity actions they cause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HR event</w:t>
            </w:r>
          </w:p>
        </w:tc>
        <w:tc>
          <w:tcPr/>
          <w:p>
            <w:pPr>
              <w:pStyle w:val="Compact"/>
            </w:pPr>
            <w:r>
              <w:t xml:space="preserve">Recorded fact</w:t>
            </w:r>
          </w:p>
        </w:tc>
        <w:tc>
          <w:tcPr/>
          <w:p>
            <w:pPr>
              <w:pStyle w:val="Compact"/>
            </w:pPr>
            <w:r>
              <w:t xml:space="preserve">Identity actions derived from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Joiner</w:t>
            </w:r>
          </w:p>
        </w:tc>
        <w:tc>
          <w:tcPr/>
          <w:p>
            <w:pPr>
              <w:pStyle w:val="Compact"/>
            </w:pPr>
            <w:r>
              <w:t xml:space="preserve">Future-dated hire: worker record and assignment created</w:t>
            </w:r>
          </w:p>
        </w:tc>
        <w:tc>
          <w:tcPr/>
          <w:p>
            <w:pPr>
              <w:pStyle w:val="Compact"/>
            </w:pPr>
            <w:r>
              <w:t xml:space="preserve">Account created ahead of the start date by provisioning; licenses and baseline access derived from attributes; credential enrollment queued for day one (Chapter 09)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Mover</w:t>
            </w:r>
          </w:p>
        </w:tc>
        <w:tc>
          <w:tcPr/>
          <w:p>
            <w:pPr>
              <w:pStyle w:val="Compact"/>
            </w:pPr>
            <w:r>
              <w:t xml:space="preserve">Assignment change: new position, organization, location or supervisor</w:t>
            </w:r>
          </w:p>
        </w:tc>
        <w:tc>
          <w:tcPr/>
          <w:p>
            <w:pPr>
              <w:pStyle w:val="Compact"/>
            </w:pPr>
            <w:r>
              <w:t xml:space="preserve">Attributes re-stamped; dynamic memberships re-evaluated, so the old organization’s access leaves as the new one’s arrives; access review on what remains (PS-5); approvals follow the new supervisor of record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Leaver</w:t>
            </w:r>
          </w:p>
        </w:tc>
        <w:tc>
          <w:tcPr/>
          <w:p>
            <w:pPr>
              <w:pStyle w:val="Compact"/>
            </w:pPr>
            <w:r>
              <w:t xml:space="preserve">Effective-dated separation</w:t>
            </w:r>
          </w:p>
        </w:tc>
        <w:tc>
          <w:tcPr/>
          <w:p>
            <w:pPr>
              <w:pStyle w:val="Compact"/>
            </w:pPr>
            <w:r>
              <w:t xml:space="preserve">The leaver sequence of Chapter 09: immediately block logical access, then reconcile credentials, devices, entitlements, application access, and later disposition — one workflow, one evidence trail (PS-4)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Rehire</w:t>
            </w:r>
          </w:p>
        </w:tc>
        <w:tc>
          <w:tcPr/>
          <w:p>
            <w:pPr>
              <w:pStyle w:val="Compact"/>
            </w:pPr>
            <w:r>
              <w:t xml:space="preserve">Returning worker matched to the prior worker record</w:t>
            </w:r>
          </w:p>
        </w:tc>
        <w:tc>
          <w:tcPr/>
          <w:p>
            <w:pPr>
              <w:pStyle w:val="Compact"/>
            </w:pPr>
            <w:r>
              <w:t xml:space="preserve">Prior identifier re-linked; the person resumes an identity rather than getting a second one (IA-4)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Conversion</w:t>
            </w:r>
          </w:p>
        </w:tc>
        <w:tc>
          <w:tcPr/>
          <w:p>
            <w:pPr>
              <w:pStyle w:val="Compact"/>
            </w:pPr>
            <w:r>
              <w:t xml:space="preserve">Worker type changes; affiliation continuous</w:t>
            </w:r>
          </w:p>
        </w:tc>
        <w:tc>
          <w:tcPr/>
          <w:p>
            <w:pPr>
              <w:pStyle w:val="Compact"/>
            </w:pPr>
            <w:r>
              <w:t xml:space="preserve">Same identifier, access re-derived from the new worker type; no duplicate identity</w:t>
            </w:r>
          </w:p>
        </w:tc>
      </w:tr>
    </w:tbl>
    <w:p>
      <w:pPr>
        <w:pStyle w:val="BodyText"/>
      </w:pPr>
      <w:r>
        <w:t xml:space="preserve">The property that matters is the direction of causation. Nobody</w:t>
      </w:r>
      <w:r>
        <w:t xml:space="preserve"> </w:t>
      </w:r>
      <w:r>
        <w:rPr>
          <w:i/>
          <w:iCs/>
        </w:rPr>
        <w:t xml:space="preserve">remembers</w:t>
      </w:r>
      <w:r>
        <w:t xml:space="preserve"> </w:t>
      </w:r>
      <w:r>
        <w:t xml:space="preserve">to disable a leaver; the separation record causes the disablement, on the effective date. Tickets survive only for exceptions, and every exception is visible as a deviation from a computed baseline.</w:t>
      </w:r>
    </w:p>
    <w:p>
      <w:pPr>
        <w:pStyle w:val="BodyText"/>
      </w:pPr>
      <w:r>
        <w:t xml:space="preserve">The controls in the table are NIST SP 800-53’s. PS-4 requires, on termination, disabling system access within an organization-defined period and terminating or revoking the person’s authenticators and credentials. PS-5 requires reviewing and confirming the need for existing logical and physical access when a person is reassigned or transferred, and modifying it to match. IA-4 requires preventing the reuse of identifiers for an organization-defined period.</w:t>
      </w:r>
      <w:r>
        <w:rPr>
          <w:rStyle w:val="FootnoteReference"/>
        </w:rPr>
        <w:footnoteReference w:id="12"/>
      </w:r>
    </w:p>
    <w:bookmarkEnd w:id="14"/>
    <w:bookmarkStart w:id="22" w:name="personnel-actions-are-the-triggers"/>
    <w:p>
      <w:pPr>
        <w:pStyle w:val="Heading2"/>
      </w:pPr>
      <w:r>
        <w:t xml:space="preserve">Personnel actions are the triggers</w:t>
      </w:r>
    </w:p>
    <w:p>
      <w:pPr>
        <w:pStyle w:val="FirstParagraph"/>
      </w:pPr>
      <w:r>
        <w:t xml:space="preserve">For federal employees, every HR event above is recorded as a personnel action, and every personnel action carries a</w:t>
      </w:r>
      <w:r>
        <w:t xml:space="preserve"> </w:t>
      </w:r>
      <w:r>
        <w:rPr>
          <w:b/>
          <w:bCs/>
        </w:rPr>
        <w:t xml:space="preserve">nature-of-action (NOA) code</w:t>
      </w:r>
      <w:r>
        <w:t xml:space="preserve">. The first digit of the code sets the family (1 for appointments, 3 for separations, 5 for conversions, 7 for position and miscellaneous changes, and so on); OPM’s</w:t>
      </w:r>
      <w:r>
        <w:t xml:space="preserve"> </w:t>
      </w:r>
      <w:r>
        <w:rPr>
          <w:i/>
          <w:iCs/>
        </w:rPr>
        <w:t xml:space="preserve">Guide to Processing Personnel Actions</w:t>
      </w:r>
      <w:r>
        <w:t xml:space="preserve"> </w:t>
      </w:r>
      <w:r>
        <w:t xml:space="preserve">organizes its chapters around those codes.</w:t>
      </w:r>
      <w:r>
        <w:rPr>
          <w:rStyle w:val="FootnoteReference"/>
        </w:rPr>
        <w:footnoteReference w:id="15"/>
      </w:r>
      <w:r>
        <w:t xml:space="preserve"> </w:t>
      </w:r>
      <w:r>
        <w:t xml:space="preserve">That gives HR-driven identity a standard, government-wide trigger vocabulary instead of a locally invented one. Every accession, conversion and separation, and every correction or cancellation of one, must be documented on an SF-50, the Notification of Personnel Action. A few action types don’t need an SF-50; realignment is one of them, so a mover feed can’t assume one.</w:t>
      </w:r>
      <w:r>
        <w:rPr>
          <w:rStyle w:val="FootnoteReference"/>
        </w:rPr>
        <w:footnoteReference w:id="17"/>
      </w:r>
    </w:p>
    <w:p>
      <w:pPr>
        <w:pStyle w:val="CaptionedFigure"/>
      </w:pPr>
      <w:r>
        <w:drawing>
          <wp:inline>
            <wp:extent cx="5000625" cy="6076950"/>
            <wp:effectExtent b="0" l="0" r="0" t="0"/>
            <wp:docPr descr="Personnel actions drive the lifecycle: the nature-of-action family on each SF-50 classifies the HR event into one identity event." title="" id="19" name="Picture"/>
            <a:graphic>
              <a:graphicData uri="http://schemas.openxmlformats.org/drawingml/2006/picture">
                <pic:pic>
                  <pic:nvPicPr>
                    <pic:cNvPr descr="../../images/diagrams/b03-hr-identity/svg/ch08-personnel-action-lifecycle.svg" id="2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6076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Personnel actions drive the lifecycle: the nature-of-action family on each SF-50 classifies the HR event into one identity event.</w:t>
      </w:r>
    </w:p>
    <w:p>
      <w:pPr>
        <w:pStyle w:val="TableCaption"/>
      </w:pPr>
      <w:r>
        <w:t xml:space="preserve">Proposed identity interpretation of OPM nature-of-action families</w:t>
      </w:r>
      <w:r>
        <w:rPr>
          <w:rStyle w:val="FootnoteReference"/>
        </w:rPr>
        <w:footnoteReference w:id="21"/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Proposed identity interpretation of OPM nature-of-action families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NOA family (GPPA chapters)</w:t>
            </w:r>
          </w:p>
        </w:tc>
        <w:tc>
          <w:tcPr/>
          <w:p>
            <w:pPr>
              <w:pStyle w:val="Compact"/>
            </w:pPr>
            <w:r>
              <w:t xml:space="preserve">Examples</w:t>
            </w:r>
          </w:p>
        </w:tc>
        <w:tc>
          <w:tcPr/>
          <w:p>
            <w:pPr>
              <w:pStyle w:val="Compact"/>
            </w:pPr>
            <w:r>
              <w:t xml:space="preserve">Identity event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Accessions — 1xx (Ch 9–11, 13)</w:t>
            </w:r>
          </w:p>
        </w:tc>
        <w:tc>
          <w:tcPr/>
          <w:p>
            <w:pPr>
              <w:pStyle w:val="Compact"/>
            </w:pPr>
            <w:r>
              <w:t xml:space="preserve">100, 101, 130, 140, 141, 170, 171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Joiner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Conversions — 5xx (Ch 9–11, 13)</w:t>
            </w:r>
          </w:p>
        </w:tc>
        <w:tc>
          <w:tcPr/>
          <w:p>
            <w:pPr>
              <w:pStyle w:val="Compact"/>
            </w:pPr>
            <w:r>
              <w:t xml:space="preserve">500, 501, 540, 570, 571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Conversion</w:t>
            </w:r>
            <w:r>
              <w:t xml:space="preserve">: same person and key; access re-derived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Position changes — 7xx (Ch 14)</w:t>
            </w:r>
          </w:p>
        </w:tc>
        <w:tc>
          <w:tcPr/>
          <w:p>
            <w:pPr>
              <w:pStyle w:val="Compact"/>
            </w:pPr>
            <w:r>
              <w:t xml:space="preserve">702 promotion, 713 change to lower grade, 721 reassignment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Mover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Other 7xx changes (Ch 20, 21, 23, 24)</w:t>
            </w:r>
          </w:p>
        </w:tc>
        <w:tc>
          <w:tcPr/>
          <w:p>
            <w:pPr>
              <w:pStyle w:val="Compact"/>
            </w:pPr>
            <w:r>
              <w:t xml:space="preserve">780 name change, 790 realignment, 792 duty station change, 781/782 work schedule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Mover</w:t>
            </w:r>
            <w:r>
              <w:t xml:space="preserve"> </w:t>
            </w:r>
            <w:r>
              <w:t xml:space="preserve">(attribute re-stamp; UPN kept on a name change)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Nonpay or nonduty status — 4xx (Ch 15)</w:t>
            </w:r>
          </w:p>
        </w:tc>
        <w:tc>
          <w:tcPr/>
          <w:p>
            <w:pPr>
              <w:pStyle w:val="Compact"/>
            </w:pPr>
            <w:r>
              <w:t xml:space="preserve">430, 450–452, 460, 471, 473, 480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a leaver</w:t>
            </w:r>
            <w:r>
              <w:t xml:space="preserve">: the person is kept; policy restricts the account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Return to duty — 2xx (Ch 16)</w:t>
            </w:r>
          </w:p>
        </w:tc>
        <w:tc>
          <w:tcPr/>
          <w:p>
            <w:pPr>
              <w:pStyle w:val="Compact"/>
            </w:pPr>
            <w:r>
              <w:t xml:space="preserve">280, 292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Reinstate</w:t>
            </w:r>
            <w:r>
              <w:t xml:space="preserve">: restrictions lifted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Separations — 3xx (Ch 30–31)</w:t>
            </w:r>
          </w:p>
        </w:tc>
        <w:tc>
          <w:tcPr/>
          <w:p>
            <w:pPr>
              <w:pStyle w:val="Compact"/>
            </w:pPr>
            <w:r>
              <w:t xml:space="preserve">300–304, 307, 308 retirements; 312, 317, 330, 350–357, 385, 390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Leaver</w:t>
            </w:r>
            <w:r>
              <w:t xml:space="preserve">: block first (Chapter 09)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Corrections and cancellations (Ch 32)</w:t>
            </w:r>
          </w:p>
        </w:tc>
        <w:tc>
          <w:tcPr/>
          <w:p>
            <w:pPr>
              <w:pStyle w:val="Compact"/>
            </w:pPr>
            <w:r>
              <w:t xml:space="preserve">002 correction, 001 cancellation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Reverse or re-derive</w:t>
            </w:r>
            <w:r>
              <w:t xml:space="preserve"> </w:t>
            </w:r>
            <w:r>
              <w:t xml:space="preserve">from the corrected record, with 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Pay and data-element changes — 8xx (Ch 17, 26, 28)</w:t>
            </w:r>
          </w:p>
        </w:tc>
        <w:tc>
          <w:tcPr/>
          <w:p>
            <w:pPr>
              <w:pStyle w:val="Compact"/>
            </w:pPr>
            <w:r>
              <w:t xml:space="preserve">880 tenure change; 800, 803 data element change</w:t>
            </w:r>
          </w:p>
        </w:tc>
        <w:tc>
          <w:tcPr/>
          <w:p>
            <w:pPr>
              <w:pStyle w:val="Compact"/>
            </w:pPr>
            <w:r>
              <w:t xml:space="preserve">Usually none; re-derive the worker profile when tenure or a mapped element changes</w:t>
            </w:r>
          </w:p>
        </w:tc>
      </w:tr>
    </w:tbl>
    <w:p>
      <w:pPr>
        <w:pStyle w:val="BodyText"/>
      </w:pPr>
      <w:r>
        <w:t xml:space="preserve">The table is a proposed interpretation, not an OPM rule. HR, security, labor-relations, privacy, and personnel-policy owners validate the mappings, exceptions, precedence rules, and actions before automation.</w:t>
      </w:r>
    </w:p>
    <w:p>
      <w:pPr>
        <w:pStyle w:val="BodyText"/>
      </w:pPr>
      <w:r>
        <w:t xml:space="preserve">Contractors and vendors have no SF-50 and no nature-of-action codes. Their joiner and leaver events are the contract or sponsorship start and end dates in their own source, and a sponsor’s withdrawal is a leaver event (Chapter 06).</w:t>
      </w:r>
    </w:p>
    <w:p>
      <w:pPr>
        <w:pStyle w:val="BodyText"/>
      </w:pPr>
      <w:r>
        <w:t xml:space="preserve">Three rules follow, and Appendix A sets out the rest: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Leave is not a leaver.</w:t>
      </w:r>
      <w:r>
        <w:t xml:space="preserve"> </w:t>
      </w:r>
      <w:r>
        <w:t xml:space="preserve">Furlough, leave without pay and suspension (the 4xx family) keep the person; deprovisioning them as leavers locks out people who are still employed.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Precedence is a rule.</w:t>
      </w:r>
      <w:r>
        <w:t xml:space="preserve"> </w:t>
      </w:r>
      <w:r>
        <w:t xml:space="preserve">When two actions for one person land in one cycle, a separation wins, and a conversion is applied before a mover is evaluated.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Cancellations are first-class events.</w:t>
      </w:r>
      <w:r>
        <w:t xml:space="preserve"> </w:t>
      </w:r>
      <w:r>
        <w:t xml:space="preserve">A cancelled separation (001/002) re-enables what the separation disabled, from the corrected record, with evidence.</w:t>
      </w:r>
    </w:p>
    <w:bookmarkEnd w:id="22"/>
    <w:bookmarkStart w:id="52" w:name="X50111b289b1c8eab2d65f5e342a11d2e51a9787"/>
    <w:p>
      <w:pPr>
        <w:pStyle w:val="Heading2"/>
      </w:pPr>
      <w:r>
        <w:t xml:space="preserve">Who does what: provisioning and Lifecycle Workflows</w:t>
      </w:r>
    </w:p>
    <w:p>
      <w:pPr>
        <w:pStyle w:val="FirstParagraph"/>
      </w:pPr>
      <w:r>
        <w:t xml:space="preserve">Two Microsoft services share the work, and the boundary between them is easy to blur: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Inbound provisioning creates and updates accounts.</w:t>
      </w:r>
      <w:r>
        <w:t xml:space="preserve"> </w:t>
      </w:r>
      <w:r>
        <w:t xml:space="preserve">It creates the user, keeps attributes current, and enables or disables the account from the HR status (Chapter 05).</w:t>
      </w:r>
      <w:r>
        <w:rPr>
          <w:rStyle w:val="FootnoteReference"/>
        </w:rPr>
        <w:footnoteReference w:id="23"/>
      </w:r>
      <w:r>
        <w:rPr>
          <w:rStyle w:val="FootnoteReference"/>
        </w:rPr>
        <w:footnoteReference w:id="25"/>
      </w:r>
      <w:r>
        <w:t xml:space="preserve"> </w:t>
      </w:r>
      <w:r>
        <w:t xml:space="preserve">With API-driven inbound provisioning, the SCIM</w:t>
      </w:r>
      <w:r>
        <w:t xml:space="preserve"> </w:t>
      </w:r>
      <w:r>
        <w:rPr>
          <w:rStyle w:val="VerbatimChar"/>
        </w:rPr>
        <w:t xml:space="preserve">active</w:t>
      </w:r>
      <w:r>
        <w:t xml:space="preserve"> </w:t>
      </w:r>
      <w:r>
        <w:t xml:space="preserve">value sets the account status by default, and the</w:t>
      </w:r>
      <w:r>
        <w:t xml:space="preserve"> </w:t>
      </w:r>
      <w:r>
        <w:rPr>
          <w:rStyle w:val="VerbatimChar"/>
        </w:rPr>
        <w:t xml:space="preserve">/bulkUpload</w:t>
      </w:r>
      <w:r>
        <w:t xml:space="preserve"> </w:t>
      </w:r>
      <w:r>
        <w:t xml:space="preserve">endpoint doesn’t delete users; Microsoft points to the Lifecycle Workflows</w:t>
      </w:r>
      <w:r>
        <w:t xml:space="preserve"> </w:t>
      </w:r>
      <w:r>
        <w:rPr>
          <w:i/>
          <w:iCs/>
        </w:rPr>
        <w:t xml:space="preserve">Delete user</w:t>
      </w:r>
      <w:r>
        <w:t xml:space="preserve"> </w:t>
      </w:r>
      <w:r>
        <w:t xml:space="preserve">task for that.</w:t>
      </w:r>
      <w:r>
        <w:rPr>
          <w:rStyle w:val="FootnoteReference"/>
        </w:rPr>
        <w:footnoteReference w:id="27"/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Lifecycle Workflows act on users who already exist.</w:t>
      </w:r>
      <w:r>
        <w:t xml:space="preserve"> </w:t>
      </w:r>
      <w:r>
        <w:t xml:space="preserve">Microsoft describes them as automating the routine processes</w:t>
      </w:r>
      <w:r>
        <w:t xml:space="preserve"> </w:t>
      </w:r>
      <w:r>
        <w:rPr>
          <w:i/>
          <w:iCs/>
        </w:rPr>
        <w:t xml:space="preserve">around</w:t>
      </w:r>
      <w:r>
        <w:t xml:space="preserve"> </w:t>
      </w:r>
      <w:r>
        <w:t xml:space="preserve">HR-driven provisioning: while HR provisioning manages creation and attribute updates, workflows run additional tasks.</w:t>
      </w:r>
      <w:r>
        <w:rPr>
          <w:rStyle w:val="FootnoteReference"/>
        </w:rPr>
        <w:footnoteReference w:id="29"/>
      </w:r>
      <w:r>
        <w:t xml:space="preserve"> </w:t>
      </w:r>
      <w:r>
        <w:t xml:space="preserve">A workflow is a set of tasks plus execution conditions: a scope (who) and a trigger (when).</w:t>
      </w:r>
      <w:r>
        <w:rPr>
          <w:rStyle w:val="FootnoteReference"/>
        </w:rPr>
        <w:footnoteReference w:id="30"/>
      </w:r>
    </w:p>
    <w:p>
      <w:pPr>
        <w:pStyle w:val="FirstParagraph"/>
      </w:pPr>
      <w:r>
        <w:t xml:space="preserve">A workflow never creates the account. A page that says</w:t>
      </w:r>
      <w:r>
        <w:t xml:space="preserve"> </w:t>
      </w:r>
      <w:r>
        <w:t xml:space="preserve">“Lifecycle Workflows provision the new hire”</w:t>
      </w:r>
      <w:r>
        <w:t xml:space="preserve"> </w:t>
      </w:r>
      <w:r>
        <w:t xml:space="preserve">has the boundary wrong.</w:t>
      </w:r>
    </w:p>
    <w:p>
      <w:pPr>
        <w:pStyle w:val="BodyText"/>
      </w:pPr>
      <w:r>
        <w:t xml:space="preserve">The two also license differently. API-driven inbound provisioning is included from Microsoft Entra ID P1; Lifecycle Workflows need Microsoft Entra ID Governance or Microsoft Entra Suite.</w:t>
      </w:r>
      <w:r>
        <w:rPr>
          <w:rStyle w:val="FootnoteReference"/>
        </w:rPr>
        <w:footnoteReference w:id="32"/>
      </w:r>
      <w:r>
        <w:rPr>
          <w:rStyle w:val="FootnoteReference"/>
        </w:rPr>
        <w:footnoteReference w:id="34"/>
      </w:r>
      <w:r>
        <w:t xml:space="preserve"> </w:t>
      </w:r>
      <w:r>
        <w:t xml:space="preserve">Microsoft Entra ID Governance is available in GCC, GCC High and DoD.</w:t>
      </w:r>
      <w:r>
        <w:rPr>
          <w:rStyle w:val="FootnoteReference"/>
        </w:rPr>
        <w:footnoteReference w:id="35"/>
      </w:r>
    </w:p>
    <w:p>
      <w:pPr>
        <w:pStyle w:val="CaptionedFigure"/>
      </w:pPr>
      <w:r>
        <w:drawing>
          <wp:inline>
            <wp:extent cx="5334000" cy="1253087"/>
            <wp:effectExtent b="0" l="0" r="0" t="0"/>
            <wp:docPr descr="Who does what: inbound provisioning creates and updates accounts from the HR event; Lifecycle Workflows act on users who already exist and call custom task extensions." title="" id="37" name="Picture"/>
            <a:graphic>
              <a:graphicData uri="http://schemas.openxmlformats.org/drawingml/2006/picture">
                <pic:pic>
                  <pic:nvPicPr>
                    <pic:cNvPr descr="../../images/diagrams/b03-hr-identity/svg/ch08-provisioning-and-workflows.svg" id="38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30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Who does what: inbound provisioning creates and updates accounts from the HR event; Lifecycle Workflows act on users who already exist and call custom task extensions.</w:t>
      </w:r>
    </w:p>
    <w:bookmarkStart w:id="49" w:name="triggers-and-schedule"/>
    <w:p>
      <w:pPr>
        <w:pStyle w:val="Heading3"/>
      </w:pPr>
      <w:r>
        <w:t xml:space="preserve">Triggers and schedule</w:t>
      </w:r>
    </w:p>
    <w:p>
      <w:pPr>
        <w:pStyle w:val="FirstParagraph"/>
      </w:pPr>
      <w:r>
        <w:t xml:space="preserve">Lifecycle Workflows support four scheduled trigger types — time-based attribute, attribute change, group membership change, and sign-in inactivity — plus on-demand only.</w:t>
      </w:r>
      <w:r>
        <w:rPr>
          <w:rStyle w:val="FootnoteReference"/>
        </w:rPr>
        <w:footnoteReference w:id="39"/>
      </w:r>
      <w:r>
        <w:t xml:space="preserve"> </w:t>
      </w:r>
      <w:r>
        <w:t xml:space="preserve">The time-based trigger reads</w:t>
      </w:r>
      <w:r>
        <w:t xml:space="preserve"> </w:t>
      </w:r>
      <w:r>
        <w:rPr>
          <w:rStyle w:val="VerbatimChar"/>
        </w:rPr>
        <w:t xml:space="preserve">employeeHireDate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employeeLeaveDateTime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createdDateTime</w:t>
      </w:r>
      <w:r>
        <w:t xml:space="preserve">, with an offset of 0 to 180 days before or after the date; a relative time-based trigger, in preview, extends the offset to 365 days.</w:t>
      </w:r>
      <w:r>
        <w:rPr>
          <w:rStyle w:val="FootnoteReference"/>
        </w:rPr>
        <w:footnoteReference w:id="41"/>
      </w:r>
      <w:r>
        <w:t xml:space="preserve"> </w:t>
      </w:r>
      <w:r>
        <w:t xml:space="preserve">Scheduling has to be turned on for each workflow, and scheduled workflows are evaluated every 3 hours by default; the interval can be set from 1 to 24 hours, and it’s a single tenant-wide setting that every workflow follows.</w:t>
      </w:r>
      <w:r>
        <w:rPr>
          <w:rStyle w:val="FootnoteReference"/>
        </w:rPr>
        <w:footnoteReference w:id="42"/>
      </w:r>
      <w:r>
        <w:rPr>
          <w:rStyle w:val="FootnoteReference"/>
        </w:rPr>
        <w:footnoteReference w:id="43"/>
      </w:r>
      <w:r>
        <w:t xml:space="preserve"> </w:t>
      </w:r>
      <w:r>
        <w:t xml:space="preserve">Just before processing, the engine re-evaluates each user and skips anyone who no longer meets the conditions.</w:t>
      </w:r>
      <w:r>
        <w:rPr>
          <w:rStyle w:val="FootnoteReference"/>
        </w:rPr>
        <w:footnoteReference w:id="45"/>
      </w:r>
    </w:p>
    <w:p>
      <w:pPr>
        <w:pStyle w:val="BodyText"/>
      </w:pPr>
      <w:r>
        <w:t xml:space="preserve">That schedule matters for evidence. A workflow never runs earlier than the time in the trigger attribute, but the tenant schedule can delay it,</w:t>
      </w:r>
      <w:r>
        <w:rPr>
          <w:rStyle w:val="FootnoteReference"/>
        </w:rPr>
        <w:footnoteReference w:id="46"/>
      </w:r>
      <w:r>
        <w:t xml:space="preserve"> </w:t>
      </w:r>
      <w:r>
        <w:t xml:space="preserve">so a leaver workflow keyed to</w:t>
      </w:r>
      <w:r>
        <w:t xml:space="preserve"> </w:t>
      </w:r>
      <w:r>
        <w:rPr>
          <w:rStyle w:val="VerbatimChar"/>
        </w:rPr>
        <w:t xml:space="preserve">employeeLeaveDateTime</w:t>
      </w:r>
      <w:r>
        <w:t xml:space="preserve"> </w:t>
      </w:r>
      <w:r>
        <w:t xml:space="preserve">runs at the first scheduled pass after the date, and the separation-to-revocation interval (Chapter 11) includes the schedule interval. Set the tenant interval with the leaver workflow in mind. There’s also a three-day catch-up window: a user whose trigger date passed no more than three days before the engine sees them is still processed, but a later one isn’t.</w:t>
      </w:r>
      <w:r>
        <w:rPr>
          <w:rStyle w:val="FootnoteReference"/>
        </w:rPr>
        <w:footnoteReference w:id="48"/>
      </w:r>
      <w:r>
        <w:t xml:space="preserve"> </w:t>
      </w:r>
      <w:r>
        <w:t xml:space="preserve">A separation recorded more than three days after its effective date has to go through the on-demand path (see</w:t>
      </w:r>
      <w:r>
        <w:t xml:space="preserve"> </w:t>
      </w:r>
      <w:r>
        <w:rPr>
          <w:i/>
          <w:iCs/>
        </w:rPr>
        <w:t xml:space="preserve">Emergency termination</w:t>
      </w:r>
      <w:r>
        <w:t xml:space="preserve">).</w:t>
      </w:r>
    </w:p>
    <w:bookmarkEnd w:id="49"/>
    <w:bookmarkStart w:id="51" w:name="built-in-tasks-by-stage"/>
    <w:p>
      <w:pPr>
        <w:pStyle w:val="Heading3"/>
      </w:pPr>
      <w:r>
        <w:t xml:space="preserve">Built-in tasks by stage</w:t>
      </w:r>
    </w:p>
    <w:p>
      <w:pPr>
        <w:pStyle w:val="TableCaption"/>
      </w:pPr>
      <w:r>
        <w:t xml:space="preserve">Lifecycle Workflows built-in tasks by stage</w:t>
      </w:r>
      <w:r>
        <w:rPr>
          <w:rStyle w:val="FootnoteReference"/>
        </w:rPr>
        <w:footnoteReference w:id="50"/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Lifecycle Workflows built-in tasks by stage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Built-in tasks (selection)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Joiner</w:t>
            </w:r>
          </w:p>
        </w:tc>
        <w:tc>
          <w:tcPr/>
          <w:p>
            <w:pPr>
              <w:pStyle w:val="Compact"/>
            </w:pPr>
            <w:r>
              <w:t xml:space="preserve">Send welcome email; generate a Temporary Access Pass and send it to the manager; request an access package assignment; assign licenses; add to groups and Teams; enable the account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Mover</w:t>
            </w:r>
          </w:p>
        </w:tc>
        <w:tc>
          <w:tcPr/>
          <w:p>
            <w:pPr>
              <w:pStyle w:val="Compact"/>
            </w:pPr>
            <w:r>
              <w:t xml:space="preserve">Notify the manager of the move; request or remove access package assignments; add to or remove from selected groups; update user attributes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Leaver</w:t>
            </w:r>
          </w:p>
        </w:tc>
        <w:tc>
          <w:tcPr/>
          <w:p>
            <w:pPr>
              <w:pStyle w:val="Compact"/>
            </w:pPr>
            <w:r>
              <w:t xml:space="preserve">Disable the account; remove from all groups and all Teams; remove all access package assignments and cancel pending requests; remove licenses;</w:t>
            </w:r>
            <w:r>
              <w:t xml:space="preserve"> </w:t>
            </w:r>
            <w:r>
              <w:rPr>
                <w:b/>
                <w:bCs/>
              </w:rPr>
              <w:t xml:space="preserve">revoke all refresh tokens</w:t>
            </w:r>
            <w:r>
              <w:t xml:space="preserve">; delete the 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Any stage</w:t>
            </w:r>
          </w:p>
        </w:tc>
        <w:tc>
          <w:tcPr/>
          <w:p>
            <w:pPr>
              <w:pStyle w:val="Compact"/>
            </w:pPr>
            <w:r>
              <w:t xml:space="preserve">Run a custom task extension (a call out to an Azure Logic App)</w:t>
            </w:r>
          </w:p>
        </w:tc>
      </w:tr>
    </w:tbl>
    <w:p>
      <w:pPr>
        <w:pStyle w:val="BodyText"/>
      </w:pPr>
      <w:r>
        <w:t xml:space="preserve">No built-in task revokes a certificate or a PIV credential, or retires a device. Those steps go through a custom task extension or a separate process (Chapter 09).</w:t>
      </w:r>
    </w:p>
    <w:bookmarkEnd w:id="51"/>
    <w:bookmarkEnd w:id="52"/>
    <w:bookmarkStart w:id="54" w:name="joiner"/>
    <w:p>
      <w:pPr>
        <w:pStyle w:val="Heading2"/>
      </w:pPr>
      <w:r>
        <w:t xml:space="preserve">Joiner</w:t>
      </w:r>
    </w:p>
    <w:p>
      <w:pPr>
        <w:pStyle w:val="FirstParagraph"/>
      </w:pPr>
      <w:r>
        <w:t xml:space="preserve">Provisioning creates the account ahead of the start date from the future-dated hire. A pre-hire workflow runs a set number of days before</w:t>
      </w:r>
      <w:r>
        <w:t xml:space="preserve"> </w:t>
      </w:r>
      <w:r>
        <w:rPr>
          <w:rStyle w:val="VerbatimChar"/>
        </w:rPr>
        <w:t xml:space="preserve">employeeHireDate</w:t>
      </w:r>
      <w:r>
        <w:t xml:space="preserve"> </w:t>
      </w:r>
      <w:r>
        <w:t xml:space="preserve">(for example, generate a Temporary Access Pass and send it to the manager), and a day-one workflow runs on the date (enable the account, assign licenses, add baseline groups). Microsoft recommends a 24-hour maximum lifetime for a Temporary Access Pass sent to a new hire, so that it hasn’t expired in another time zone, and recommends setting the time portion of</w:t>
      </w:r>
      <w:r>
        <w:t xml:space="preserve"> </w:t>
      </w:r>
      <w:r>
        <w:rPr>
          <w:rStyle w:val="VerbatimChar"/>
        </w:rPr>
        <w:t xml:space="preserve">employeeHireDate</w:t>
      </w:r>
      <w:r>
        <w:t xml:space="preserve"> </w:t>
      </w:r>
      <w:r>
        <w:t xml:space="preserve">early enough that the tenant schedule doesn’t push the day-one run past the start of work.</w:t>
      </w:r>
      <w:r>
        <w:rPr>
          <w:rStyle w:val="FootnoteReference"/>
        </w:rPr>
        <w:footnoteReference w:id="53"/>
      </w:r>
      <w:r>
        <w:t xml:space="preserve"> </w:t>
      </w:r>
      <w:r>
        <w:t xml:space="preserve">Day-one readiness (account, licenses and baseline access in place at start of day) is a metric, not a hope (Chapter 11).</w:t>
      </w:r>
    </w:p>
    <w:bookmarkEnd w:id="54"/>
    <w:bookmarkStart w:id="55" w:name="mover"/>
    <w:p>
      <w:pPr>
        <w:pStyle w:val="Heading2"/>
      </w:pPr>
      <w:r>
        <w:t xml:space="preserve">Mover</w:t>
      </w:r>
    </w:p>
    <w:p>
      <w:pPr>
        <w:pStyle w:val="FirstParagraph"/>
      </w:pPr>
      <w:r>
        <w:t xml:space="preserve">The mover event re-stamps attributes through provisioning; dynamic memberships re-evaluate on their own (Chapter 10). An attribute-change workflow scoped to</w:t>
      </w:r>
      <w:r>
        <w:t xml:space="preserve"> </w:t>
      </w:r>
      <w:r>
        <w:rPr>
          <w:rStyle w:val="VerbatimChar"/>
        </w:rPr>
        <w:t xml:space="preserve">department</w:t>
      </w:r>
      <w:r>
        <w:t xml:space="preserve"> </w:t>
      </w:r>
      <w:r>
        <w:t xml:space="preserve">or the organization code can notify the manager and start a review of what’s left. Old access that came from a dynamic group goes away when the rule stops matching; old access that came from an access package or a direct assignment doesn’t, which is why the review on the residual is a control, not a courtesy.</w:t>
      </w:r>
    </w:p>
    <w:bookmarkEnd w:id="55"/>
    <w:bookmarkStart w:id="59" w:name="leaver"/>
    <w:p>
      <w:pPr>
        <w:pStyle w:val="Heading2"/>
      </w:pPr>
      <w:r>
        <w:t xml:space="preserve">Leaver</w:t>
      </w:r>
    </w:p>
    <w:p>
      <w:pPr>
        <w:pStyle w:val="FirstParagraph"/>
      </w:pPr>
      <w:r>
        <w:t xml:space="preserve">The separation record sets</w:t>
      </w:r>
      <w:r>
        <w:t xml:space="preserve"> </w:t>
      </w:r>
      <w:r>
        <w:rPr>
          <w:rStyle w:val="VerbatimChar"/>
        </w:rPr>
        <w:t xml:space="preserve">employeeLeaveDateTime</w:t>
      </w:r>
      <w:r>
        <w:t xml:space="preserve"> </w:t>
      </w:r>
      <w:r>
        <w:t xml:space="preserve">through provisioning, and the leaver workflows run against it: a pre-separation workflow (notify the manager), a last-day workflow, and a post-separation workflow that deletes the user after the retention period. The order of the steps, and the credential and device steps that the built-in tasks don’t cover, are Chapter 09’s subject.</w:t>
      </w:r>
    </w:p>
    <w:bookmarkStart w:id="58" w:name="emergency-termination"/>
    <w:p>
      <w:pPr>
        <w:pStyle w:val="Heading3"/>
      </w:pPr>
      <w:r>
        <w:t xml:space="preserve">Emergency termination</w:t>
      </w:r>
    </w:p>
    <w:p>
      <w:pPr>
        <w:pStyle w:val="FirstParagraph"/>
      </w:pPr>
      <w:r>
        <w:t xml:space="preserve">Some separations can’t wait for the schedule. Microsoft’s</w:t>
      </w:r>
      <w:r>
        <w:t xml:space="preserve"> </w:t>
      </w:r>
      <w:r>
        <w:rPr>
          <w:b/>
          <w:bCs/>
        </w:rPr>
        <w:t xml:space="preserve">Real-time employee termination</w:t>
      </w:r>
      <w:r>
        <w:t xml:space="preserve"> </w:t>
      </w:r>
      <w:r>
        <w:t xml:space="preserve">template is an on-demand workflow; its tutorial removes the user from all groups and all Teams and deletes the account.</w:t>
      </w:r>
      <w:r>
        <w:rPr>
          <w:rStyle w:val="FootnoteReference"/>
        </w:rPr>
        <w:footnoteReference w:id="56"/>
      </w:r>
      <w:r>
        <w:t xml:space="preserve"> </w:t>
      </w:r>
      <w:r>
        <w:t xml:space="preserve">For an agency, use the template as the starting point for an on-demand workflow that runs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sequence as the scheduled leaver workflow (Chapter 09), not a shorter one. The trigger is human; the execution and the evidence are identical.</w:t>
      </w:r>
    </w:p>
    <w:bookmarkEnd w:id="58"/>
    <w:bookmarkEnd w:id="59"/>
    <w:bookmarkStart w:id="62" w:name="rehire-and-conversion"/>
    <w:p>
      <w:pPr>
        <w:pStyle w:val="Heading2"/>
      </w:pPr>
      <w:r>
        <w:t xml:space="preserve">Rehire and conversion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Rehire.</w:t>
      </w:r>
      <w:r>
        <w:t xml:space="preserve"> </w:t>
      </w:r>
      <w:r>
        <w:t xml:space="preserve">The returning worker is matched to the prior worker record by person number, and the provisioning match on</w:t>
      </w:r>
      <w:r>
        <w:t xml:space="preserve"> </w:t>
      </w:r>
      <w:r>
        <w:rPr>
          <w:rStyle w:val="VerbatimChar"/>
        </w:rPr>
        <w:t xml:space="preserve">employeeId</w:t>
      </w:r>
      <w:r>
        <w:t xml:space="preserve"> </w:t>
      </w:r>
      <w:r>
        <w:t xml:space="preserve">re-links the existing account if it still exists; Microsoft’s HR-driven provisioning can reactivate or reprovision a rehire’s old account.</w:t>
      </w:r>
      <w:r>
        <w:rPr>
          <w:rStyle w:val="FootnoteReference"/>
        </w:rPr>
        <w:footnoteReference w:id="60"/>
      </w:r>
      <w:r>
        <w:rPr>
          <w:rStyle w:val="FootnoteReference"/>
        </w:rPr>
        <w:footnoteReference w:id="61"/>
      </w:r>
      <w:r>
        <w:t xml:space="preserve"> </w:t>
      </w:r>
      <w:r>
        <w:t xml:space="preserve">If the account was deleted, the new account carries the same</w:t>
      </w:r>
      <w:r>
        <w:t xml:space="preserve"> </w:t>
      </w:r>
      <w:r>
        <w:rPr>
          <w:rStyle w:val="VerbatimChar"/>
        </w:rPr>
        <w:t xml:space="preserve">employeeId</w:t>
      </w:r>
      <w:r>
        <w:t xml:space="preserve">; the identifier history lives in the HR record, not the directory.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Conversion.</w:t>
      </w:r>
      <w:r>
        <w:t xml:space="preserve"> </w:t>
      </w:r>
      <w:r>
        <w:t xml:space="preserve">A contractor-to-employee change is an attribute change on the same person, not a leaver plus a joiner.</w:t>
      </w:r>
      <w:r>
        <w:t xml:space="preserve"> </w:t>
      </w:r>
      <w:r>
        <w:rPr>
          <w:rStyle w:val="VerbatimChar"/>
        </w:rPr>
        <w:t xml:space="preserve">employeeType</w:t>
      </w:r>
      <w:r>
        <w:t xml:space="preserve"> </w:t>
      </w:r>
      <w:r>
        <w:t xml:space="preserve">and the worker-type code change; access re-derives; the identifier stays.</w:t>
      </w:r>
    </w:p>
    <w:bookmarkEnd w:id="62"/>
    <w:bookmarkStart w:id="72" w:name="deletion"/>
    <w:p>
      <w:pPr>
        <w:pStyle w:val="Heading2"/>
      </w:pPr>
      <w:r>
        <w:t xml:space="preserve">Deletion</w:t>
      </w:r>
    </w:p>
    <w:p>
      <w:pPr>
        <w:pStyle w:val="FirstParagraph"/>
      </w:pPr>
      <w:r>
        <w:t xml:space="preserve">Disable on the separation date; delete or anonymize only under the approved account-disposition rule; retain each category of HR record, authorization record, audit evidence, and security log under its applicable schedule and legal-hold requirements, from a post-separation workflow. A deleted Entra user can be restored for 30 days, after which it is permanently deleted;</w:t>
      </w:r>
      <w:r>
        <w:rPr>
          <w:rStyle w:val="FootnoteReference"/>
        </w:rPr>
        <w:footnoteReference w:id="63"/>
      </w:r>
      <w:r>
        <w:t xml:space="preserve"> </w:t>
      </w:r>
      <w:r>
        <w:t xml:space="preserve">retention for audit and records purposes has to be met by the logs and the HR record, not by keeping the account. For a synchronized user, the disposition happens in Active Directory: Entra ID isn’t the source of authority for that account, and a user deleted only in Entra ID can be restored by the next sync cycle.</w:t>
      </w:r>
      <w:r>
        <w:rPr>
          <w:rStyle w:val="FootnoteReference"/>
        </w:rPr>
        <w:footnoteReference w:id="65"/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Continue the book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69">
              <w:r>
                <w:rPr>
                  <w:rStyle w:val="Hyperlink"/>
                </w:rPr>
                <w:t xml:space="preserve">← Previous: Chapter 07 — Who Owns Workforce Identity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70">
              <w:r>
                <w:rPr>
                  <w:rStyle w:val="Hyperlink"/>
                </w:rPr>
                <w:t xml:space="preserve">Book index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71">
              <w:r>
                <w:rPr>
                  <w:rStyle w:val="Hyperlink"/>
                </w:rPr>
                <w:t xml:space="preserve">Next: Chapter 09 — Credentials and Certificates Across Joiner, Mover, Leaver →</w:t>
              </w:r>
            </w:hyperlink>
          </w:p>
          <w:p/>
        </w:tc>
      </w:tr>
    </w:tbl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NIST, SP 800-53 Rev. 5,</w:t>
      </w:r>
      <w:r>
        <w:t xml:space="preserve"> </w:t>
      </w:r>
      <w:r>
        <w:rPr>
          <w:i/>
          <w:iCs/>
        </w:rPr>
        <w:t xml:space="preserve">Security and Privacy Controls for Information Systems and Organizations</w:t>
      </w:r>
      <w:r>
        <w:t xml:space="preserve">, September 2020 (updated December 10, 2020), controls IA-4, PS-4 and PS-5,</w:t>
      </w:r>
      <w:r>
        <w:t xml:space="preserve"> </w:t>
      </w:r>
      <w:hyperlink r:id="rId13">
        <w:r>
          <w:rPr>
            <w:rStyle w:val="Hyperlink"/>
          </w:rPr>
          <w:t xml:space="preserve">https://csrc.nist.gov/pubs/sp/800/53/r5/upd1/final</w:t>
        </w:r>
      </w:hyperlink>
      <w:r>
        <w:t xml:space="preserve"> </w:t>
      </w:r>
      <w:r>
        <w:t xml:space="preserve">(accessed Oct 20, 2026).</w:t>
      </w:r>
    </w:p>
  </w:footnote>
  <w:footnote w:id="1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U.S. Office of Personnel Management,</w:t>
      </w:r>
      <w:r>
        <w:t xml:space="preserve"> </w:t>
      </w:r>
      <w:r>
        <w:rPr>
          <w:i/>
          <w:iCs/>
        </w:rPr>
        <w:t xml:space="preserve">The Guide to Processing Personnel Actions</w:t>
      </w:r>
      <w:r>
        <w:t xml:space="preserve">, October 2026 edition (chapter list with nature-of-action codes per chapter; Chapter 1 §4, nature of action, and the SF-50 documentation requirement; Chapter 4 job aid for blocks 5-A and 6-A),</w:t>
      </w:r>
      <w:r>
        <w:t xml:space="preserve"> </w:t>
      </w:r>
      <w:hyperlink r:id="rId16">
        <w:r>
          <w:rPr>
            <w:rStyle w:val="Hyperlink"/>
          </w:rPr>
          <w:t xml:space="preserve">https://www.opm.gov/policy-data-oversight/data-analysis-documentation/personnel-documentation/processing-personnel-actions/guide_to_processing_personnel_actions.pdf</w:t>
        </w:r>
      </w:hyperlink>
      <w:r>
        <w:t xml:space="preserve"> </w:t>
      </w:r>
      <w:r>
        <w:t xml:space="preserve">(accessed Oct 20, 2026).</w:t>
      </w:r>
    </w:p>
  </w:footnote>
  <w:footnote w:id="1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U.S. Office of Personnel Management,</w:t>
      </w:r>
      <w:r>
        <w:t xml:space="preserve"> </w:t>
      </w:r>
      <w:r>
        <w:rPr>
          <w:i/>
          <w:iCs/>
        </w:rPr>
        <w:t xml:space="preserve">The Guide to Processing Personnel Actions</w:t>
      </w:r>
      <w:r>
        <w:t xml:space="preserve">, October 2026 edition (chapter list with nature-of-action codes per chapter; Chapter 1 §4, nature of action, and the SF-50 documentation requirement; Chapter 4 job aid for blocks 5-A and 6-A),</w:t>
      </w:r>
      <w:r>
        <w:t xml:space="preserve"> </w:t>
      </w:r>
      <w:hyperlink r:id="rId16">
        <w:r>
          <w:rPr>
            <w:rStyle w:val="Hyperlink"/>
          </w:rPr>
          <w:t xml:space="preserve">https://www.opm.gov/policy-data-oversight/data-analysis-documentation/personnel-documentation/processing-personnel-actions/guide_to_processing_personnel_actions.pdf</w:t>
        </w:r>
      </w:hyperlink>
      <w:r>
        <w:t xml:space="preserve"> </w:t>
      </w:r>
      <w:r>
        <w:t xml:space="preserve">(accessed Oct 20, 2026).</w:t>
      </w:r>
    </w:p>
  </w:footnote>
  <w:footnote w:id="2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U.S. Office of Personnel Management,</w:t>
      </w:r>
      <w:r>
        <w:t xml:space="preserve"> </w:t>
      </w:r>
      <w:r>
        <w:rPr>
          <w:i/>
          <w:iCs/>
        </w:rPr>
        <w:t xml:space="preserve">The Guide to Processing Personnel Actions</w:t>
      </w:r>
      <w:r>
        <w:t xml:space="preserve">, October 2026 edition (chapter list with nature-of-action codes per chapter; Chapter 1 §4, nature of action, and the SF-50 documentation requirement; Chapter 4 job aid for blocks 5-A and 6-A),</w:t>
      </w:r>
      <w:r>
        <w:t xml:space="preserve"> </w:t>
      </w:r>
      <w:hyperlink r:id="rId16">
        <w:r>
          <w:rPr>
            <w:rStyle w:val="Hyperlink"/>
          </w:rPr>
          <w:t xml:space="preserve">https://www.opm.gov/policy-data-oversight/data-analysis-documentation/personnel-documentation/processing-personnel-actions/guide_to_processing_personnel_actions.pdf</w:t>
        </w:r>
      </w:hyperlink>
      <w:r>
        <w:t xml:space="preserve"> </w:t>
      </w:r>
      <w:r>
        <w:t xml:space="preserve">(accessed Oct 20, 2026).</w:t>
      </w:r>
    </w:p>
  </w:footnote>
  <w:footnote w:id="2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 built-in tasks,”</w:t>
      </w:r>
      <w:r>
        <w:t xml:space="preserve"> </w:t>
      </w:r>
      <w:hyperlink r:id="rId24">
        <w:r>
          <w:rPr>
            <w:rStyle w:val="Hyperlink"/>
          </w:rPr>
          <w:t xml:space="preserve">https://learn.microsoft.com/en-us/entra/id-governance/lifecycle-workflow-tasks</w:t>
        </w:r>
      </w:hyperlink>
      <w:r>
        <w:t xml:space="preserve"> </w:t>
      </w:r>
      <w:r>
        <w:t xml:space="preserve">(accessed Oct 20, 2026).</w:t>
      </w:r>
    </w:p>
  </w:footnote>
  <w:footnote w:id="2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“Automate identity lifecycle management with Microsoft Entra ID Governance”</w:t>
      </w:r>
      <w:r>
        <w:t xml:space="preserve"> </w:t>
      </w:r>
      <w:r>
        <w:t xml:space="preserve">(enabled HR scenarios),</w:t>
      </w:r>
      <w:r>
        <w:t xml:space="preserve"> </w:t>
      </w:r>
      <w:hyperlink r:id="rId26">
        <w:r>
          <w:rPr>
            <w:rStyle w:val="Hyperlink"/>
          </w:rPr>
          <w:t xml:space="preserve">https://learn.microsoft.com/en-us/entra/id-governance/scenarios/automate-identity-lifecycle</w:t>
        </w:r>
      </w:hyperlink>
      <w:r>
        <w:t xml:space="preserve"> </w:t>
      </w:r>
      <w:r>
        <w:t xml:space="preserve">(accessed Oct 20, 2026).</w:t>
      </w:r>
    </w:p>
  </w:footnote>
  <w:footnote w:id="2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“Frequently asked questions about API-driven inbound provisioning,”</w:t>
      </w:r>
      <w:r>
        <w:t xml:space="preserve"> </w:t>
      </w:r>
      <w:hyperlink r:id="rId28">
        <w:r>
          <w:rPr>
            <w:rStyle w:val="Hyperlink"/>
          </w:rPr>
          <w:t xml:space="preserve">https://learn.microsoft.com/en-us/entra/identity/app-provisioning/inbound-provisioning-api-faqs</w:t>
        </w:r>
      </w:hyperlink>
      <w:r>
        <w:t xml:space="preserve"> </w:t>
      </w:r>
      <w:r>
        <w:t xml:space="preserve">(accessed Oct 20, 2026).</w:t>
      </w:r>
    </w:p>
  </w:footnote>
  <w:footnote w:id="2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 built-in tasks,”</w:t>
      </w:r>
      <w:r>
        <w:t xml:space="preserve"> </w:t>
      </w:r>
      <w:hyperlink r:id="rId24">
        <w:r>
          <w:rPr>
            <w:rStyle w:val="Hyperlink"/>
          </w:rPr>
          <w:t xml:space="preserve">https://learn.microsoft.com/en-us/entra/id-governance/lifecycle-workflow-tasks</w:t>
        </w:r>
      </w:hyperlink>
      <w:r>
        <w:t xml:space="preserve"> </w:t>
      </w:r>
      <w:r>
        <w:t xml:space="preserve">(accessed Oct 20, 2026).</w:t>
      </w:r>
    </w:p>
  </w:footnote>
  <w:footnote w:id="3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“What are lifecycle workflows?,”</w:t>
      </w:r>
      <w:r>
        <w:t xml:space="preserve"> </w:t>
      </w:r>
      <w:hyperlink r:id="rId31">
        <w:r>
          <w:rPr>
            <w:rStyle w:val="Hyperlink"/>
          </w:rPr>
          <w:t xml:space="preserve">https://learn.microsoft.com/en-us/entra/id-governance/what-are-lifecycle-workflows</w:t>
        </w:r>
      </w:hyperlink>
      <w:r>
        <w:t xml:space="preserve"> </w:t>
      </w:r>
      <w:r>
        <w:t xml:space="preserve">(accessed Oct 20, 2026).</w:t>
      </w:r>
    </w:p>
  </w:footnote>
  <w:footnote w:id="3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“Microsoft Entra ID Governance licensing fundamentals,”</w:t>
      </w:r>
      <w:r>
        <w:t xml:space="preserve"> </w:t>
      </w:r>
      <w:hyperlink r:id="rId33">
        <w:r>
          <w:rPr>
            <w:rStyle w:val="Hyperlink"/>
          </w:rPr>
          <w:t xml:space="preserve">https://learn.microsoft.com/en-us/entra/id-governance/licensing-fundamentals</w:t>
        </w:r>
      </w:hyperlink>
      <w:r>
        <w:t xml:space="preserve"> </w:t>
      </w:r>
      <w:r>
        <w:t xml:space="preserve">(accessed Oct 20, 2026).</w:t>
      </w:r>
    </w:p>
  </w:footnote>
  <w:footnote w:id="3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“What are lifecycle workflows?,”</w:t>
      </w:r>
      <w:r>
        <w:t xml:space="preserve"> </w:t>
      </w:r>
      <w:hyperlink r:id="rId31">
        <w:r>
          <w:rPr>
            <w:rStyle w:val="Hyperlink"/>
          </w:rPr>
          <w:t xml:space="preserve">https://learn.microsoft.com/en-us/entra/id-governance/what-are-lifecycle-workflows</w:t>
        </w:r>
      </w:hyperlink>
      <w:r>
        <w:t xml:space="preserve"> </w:t>
      </w:r>
      <w:r>
        <w:t xml:space="preserve">(accessed Oct 20, 2026).</w:t>
      </w:r>
    </w:p>
  </w:footnote>
  <w:footnote w:id="3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“Microsoft Entra ID Governance licensing fundamentals,”</w:t>
      </w:r>
      <w:r>
        <w:t xml:space="preserve"> </w:t>
      </w:r>
      <w:hyperlink r:id="rId33">
        <w:r>
          <w:rPr>
            <w:rStyle w:val="Hyperlink"/>
          </w:rPr>
          <w:t xml:space="preserve">https://learn.microsoft.com/en-us/entra/id-governance/licensing-fundamentals</w:t>
        </w:r>
      </w:hyperlink>
      <w:r>
        <w:t xml:space="preserve"> </w:t>
      </w:r>
      <w:r>
        <w:t xml:space="preserve">(accessed Oct 20, 2026).</w:t>
      </w:r>
    </w:p>
  </w:footnote>
  <w:footnote w:id="3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workflows execution conditions and scheduling,”</w:t>
      </w:r>
      <w:r>
        <w:t xml:space="preserve"> </w:t>
      </w:r>
      <w:hyperlink r:id="rId40">
        <w:r>
          <w:rPr>
            <w:rStyle w:val="Hyperlink"/>
          </w:rPr>
          <w:t xml:space="preserve">https://learn.microsoft.com/en-us/entra/id-governance/lifecycle-workflow-execution-conditions</w:t>
        </w:r>
      </w:hyperlink>
      <w:r>
        <w:t xml:space="preserve"> </w:t>
      </w:r>
      <w:r>
        <w:t xml:space="preserve">(accessed Oct 20, 2026).</w:t>
      </w:r>
    </w:p>
  </w:footnote>
  <w:footnote w:id="4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workflows execution conditions and scheduling,”</w:t>
      </w:r>
      <w:r>
        <w:t xml:space="preserve"> </w:t>
      </w:r>
      <w:hyperlink r:id="rId40">
        <w:r>
          <w:rPr>
            <w:rStyle w:val="Hyperlink"/>
          </w:rPr>
          <w:t xml:space="preserve">https://learn.microsoft.com/en-us/entra/id-governance/lifecycle-workflow-execution-conditions</w:t>
        </w:r>
      </w:hyperlink>
      <w:r>
        <w:t xml:space="preserve"> </w:t>
      </w:r>
      <w:r>
        <w:t xml:space="preserve">(accessed Oct 20, 2026).</w:t>
      </w:r>
    </w:p>
  </w:footnote>
  <w:footnote w:id="4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workflows execution conditions and scheduling,”</w:t>
      </w:r>
      <w:r>
        <w:t xml:space="preserve"> </w:t>
      </w:r>
      <w:hyperlink r:id="rId40">
        <w:r>
          <w:rPr>
            <w:rStyle w:val="Hyperlink"/>
          </w:rPr>
          <w:t xml:space="preserve">https://learn.microsoft.com/en-us/entra/id-governance/lifecycle-workflow-execution-conditions</w:t>
        </w:r>
      </w:hyperlink>
      <w:r>
        <w:t xml:space="preserve"> </w:t>
      </w:r>
      <w:r>
        <w:t xml:space="preserve">(accessed Oct 20, 2026).</w:t>
      </w:r>
    </w:p>
  </w:footnote>
  <w:footnote w:id="4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“Customize the schedule of workflows,”</w:t>
      </w:r>
      <w:r>
        <w:t xml:space="preserve"> </w:t>
      </w:r>
      <w:hyperlink r:id="rId44">
        <w:r>
          <w:rPr>
            <w:rStyle w:val="Hyperlink"/>
          </w:rPr>
          <w:t xml:space="preserve">https://learn.microsoft.com/en-us/entra/id-governance/customize-workflow-schedule</w:t>
        </w:r>
      </w:hyperlink>
      <w:r>
        <w:t xml:space="preserve"> </w:t>
      </w:r>
      <w:r>
        <w:t xml:space="preserve">(accessed Oct 20, 2026).</w:t>
      </w:r>
    </w:p>
  </w:footnote>
  <w:footnote w:id="4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workflows execution conditions and scheduling,”</w:t>
      </w:r>
      <w:r>
        <w:t xml:space="preserve"> </w:t>
      </w:r>
      <w:hyperlink r:id="rId40">
        <w:r>
          <w:rPr>
            <w:rStyle w:val="Hyperlink"/>
          </w:rPr>
          <w:t xml:space="preserve">https://learn.microsoft.com/en-us/entra/id-governance/lifecycle-workflow-execution-conditions</w:t>
        </w:r>
      </w:hyperlink>
      <w:r>
        <w:t xml:space="preserve"> </w:t>
      </w:r>
      <w:r>
        <w:t xml:space="preserve">(accessed Oct 20, 2026).</w:t>
      </w:r>
    </w:p>
  </w:footnote>
  <w:footnote w:id="4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“How to synchronize attributes for Lifecycle workflows”</w:t>
      </w:r>
      <w:r>
        <w:t xml:space="preserve"> </w:t>
      </w:r>
      <w:r>
        <w:t xml:space="preserve">(Importance of time),</w:t>
      </w:r>
      <w:r>
        <w:t xml:space="preserve"> </w:t>
      </w:r>
      <w:hyperlink r:id="rId47">
        <w:r>
          <w:rPr>
            <w:rStyle w:val="Hyperlink"/>
          </w:rPr>
          <w:t xml:space="preserve">https://learn.microsoft.com/en-us/entra/id-governance/how-to-lifecycle-workflow-sync-attributes</w:t>
        </w:r>
      </w:hyperlink>
      <w:r>
        <w:t xml:space="preserve"> </w:t>
      </w:r>
      <w:r>
        <w:t xml:space="preserve">(accessed Oct 20, 2026).</w:t>
      </w:r>
    </w:p>
  </w:footnote>
  <w:footnote w:id="4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workflows execution conditions and scheduling,”</w:t>
      </w:r>
      <w:r>
        <w:t xml:space="preserve"> </w:t>
      </w:r>
      <w:hyperlink r:id="rId40">
        <w:r>
          <w:rPr>
            <w:rStyle w:val="Hyperlink"/>
          </w:rPr>
          <w:t xml:space="preserve">https://learn.microsoft.com/en-us/entra/id-governance/lifecycle-workflow-execution-conditions</w:t>
        </w:r>
      </w:hyperlink>
      <w:r>
        <w:t xml:space="preserve"> </w:t>
      </w:r>
      <w:r>
        <w:t xml:space="preserve">(accessed Oct 20, 2026).</w:t>
      </w:r>
    </w:p>
  </w:footnote>
  <w:footnote w:id="5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 built-in tasks,”</w:t>
      </w:r>
      <w:r>
        <w:t xml:space="preserve"> </w:t>
      </w:r>
      <w:hyperlink r:id="rId24">
        <w:r>
          <w:rPr>
            <w:rStyle w:val="Hyperlink"/>
          </w:rPr>
          <w:t xml:space="preserve">https://learn.microsoft.com/en-us/entra/id-governance/lifecycle-workflow-tasks</w:t>
        </w:r>
      </w:hyperlink>
      <w:r>
        <w:t xml:space="preserve"> </w:t>
      </w:r>
      <w:r>
        <w:t xml:space="preserve">(accessed Oct 20, 2026).</w:t>
      </w:r>
    </w:p>
  </w:footnote>
  <w:footnote w:id="5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“How to synchronize attributes for Lifecycle workflows”</w:t>
      </w:r>
      <w:r>
        <w:t xml:space="preserve"> </w:t>
      </w:r>
      <w:r>
        <w:t xml:space="preserve">(Importance of time),</w:t>
      </w:r>
      <w:r>
        <w:t xml:space="preserve"> </w:t>
      </w:r>
      <w:hyperlink r:id="rId47">
        <w:r>
          <w:rPr>
            <w:rStyle w:val="Hyperlink"/>
          </w:rPr>
          <w:t xml:space="preserve">https://learn.microsoft.com/en-us/entra/id-governance/how-to-lifecycle-workflow-sync-attributes</w:t>
        </w:r>
      </w:hyperlink>
      <w:r>
        <w:t xml:space="preserve"> </w:t>
      </w:r>
      <w:r>
        <w:t xml:space="preserve">(accessed Oct 20, 2026).</w:t>
      </w:r>
    </w:p>
  </w:footnote>
  <w:footnote w:id="5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“Execute employee termination tasks by using lifecycle workflows”</w:t>
      </w:r>
      <w:r>
        <w:t xml:space="preserve"> </w:t>
      </w:r>
      <w:r>
        <w:t xml:space="preserve">(the Real-time employee termination template),</w:t>
      </w:r>
      <w:r>
        <w:t xml:space="preserve"> </w:t>
      </w:r>
      <w:hyperlink r:id="rId57">
        <w:r>
          <w:rPr>
            <w:rStyle w:val="Hyperlink"/>
          </w:rPr>
          <w:t xml:space="preserve">https://learn.microsoft.com/en-us/entra/id-governance/tutorial-offboard-custom-workflow-portal</w:t>
        </w:r>
      </w:hyperlink>
      <w:r>
        <w:t xml:space="preserve"> </w:t>
      </w:r>
      <w:r>
        <w:t xml:space="preserve">(accessed Oct 20, 2026).</w:t>
      </w:r>
    </w:p>
  </w:footnote>
  <w:footnote w:id="6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“Automate identity lifecycle management with Microsoft Entra ID Governance”</w:t>
      </w:r>
      <w:r>
        <w:t xml:space="preserve"> </w:t>
      </w:r>
      <w:r>
        <w:t xml:space="preserve">(enabled HR scenarios),</w:t>
      </w:r>
      <w:r>
        <w:t xml:space="preserve"> </w:t>
      </w:r>
      <w:hyperlink r:id="rId26">
        <w:r>
          <w:rPr>
            <w:rStyle w:val="Hyperlink"/>
          </w:rPr>
          <w:t xml:space="preserve">https://learn.microsoft.com/en-us/entra/id-governance/scenarios/automate-identity-lifecycle</w:t>
        </w:r>
      </w:hyperlink>
      <w:r>
        <w:t xml:space="preserve"> </w:t>
      </w:r>
      <w:r>
        <w:t xml:space="preserve">(accessed Oct 20, 2026).</w:t>
      </w:r>
    </w:p>
  </w:footnote>
  <w:footnote w:id="6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“Frequently asked questions about API-driven inbound provisioning,”</w:t>
      </w:r>
      <w:r>
        <w:t xml:space="preserve"> </w:t>
      </w:r>
      <w:hyperlink r:id="rId28">
        <w:r>
          <w:rPr>
            <w:rStyle w:val="Hyperlink"/>
          </w:rPr>
          <w:t xml:space="preserve">https://learn.microsoft.com/en-us/entra/identity/app-provisioning/inbound-provisioning-api-faqs</w:t>
        </w:r>
      </w:hyperlink>
      <w:r>
        <w:t xml:space="preserve"> </w:t>
      </w:r>
      <w:r>
        <w:t xml:space="preserve">(accessed Oct 20, 2026).</w:t>
      </w:r>
    </w:p>
  </w:footnote>
  <w:footnote w:id="6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“Restore or remove a recently deleted user,”</w:t>
      </w:r>
      <w:r>
        <w:t xml:space="preserve"> </w:t>
      </w:r>
      <w:hyperlink r:id="rId64">
        <w:r>
          <w:rPr>
            <w:rStyle w:val="Hyperlink"/>
          </w:rPr>
          <w:t xml:space="preserve">https://learn.microsoft.com/en-us/entra/fundamentals/users-restore</w:t>
        </w:r>
      </w:hyperlink>
      <w:r>
        <w:t xml:space="preserve"> </w:t>
      </w:r>
      <w:r>
        <w:t xml:space="preserve">(accessed Oct 20, 2026).</w:t>
      </w:r>
    </w:p>
  </w:footnote>
  <w:footnote w:id="6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“Restore or remove a recently deleted user,”</w:t>
      </w:r>
      <w:r>
        <w:t xml:space="preserve"> </w:t>
      </w:r>
      <w:hyperlink r:id="rId64">
        <w:r>
          <w:rPr>
            <w:rStyle w:val="Hyperlink"/>
          </w:rPr>
          <w:t xml:space="preserve">https://learn.microsoft.com/en-us/entra/fundamentals/users-restore</w:t>
        </w:r>
      </w:hyperlink>
      <w:r>
        <w:t xml:space="preserve"> </w:t>
      </w:r>
      <w:r>
        <w:t xml:space="preserve">(accessed Oct 20, 2026).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svg" /><Relationship Type="http://schemas.openxmlformats.org/officeDocument/2006/relationships/image" Id="rId36" Target="media/rId36.svg" /><Relationship Type="http://schemas.openxmlformats.org/officeDocument/2006/relationships/image" Id="rId9" Target="media/rId9.png" /><Relationship Type="http://schemas.openxmlformats.org/officeDocument/2006/relationships/image" Id="rId66" Target="media/rId66.png" /><Relationship Type="http://schemas.openxmlformats.org/officeDocument/2006/relationships/hyperlink" Id="rId69" Target="07-who-owns-workforce-identity.md" TargetMode="External" /><Relationship Type="http://schemas.openxmlformats.org/officeDocument/2006/relationships/hyperlink" Id="rId71" Target="09-credentials-and-certificates.md" TargetMode="External" /><Relationship Type="http://schemas.openxmlformats.org/officeDocument/2006/relationships/hyperlink" Id="rId13" Target="https://csrc.nist.gov/pubs/sp/800/53/r5/upd1/final" TargetMode="External" /><Relationship Type="http://schemas.openxmlformats.org/officeDocument/2006/relationships/hyperlink" Id="rId64" Target="https://learn.microsoft.com/en-us/entra/fundamentals/users-restore" TargetMode="External" /><Relationship Type="http://schemas.openxmlformats.org/officeDocument/2006/relationships/hyperlink" Id="rId44" Target="https://learn.microsoft.com/en-us/entra/id-governance/customize-workflow-schedule" TargetMode="External" /><Relationship Type="http://schemas.openxmlformats.org/officeDocument/2006/relationships/hyperlink" Id="rId47" Target="https://learn.microsoft.com/en-us/entra/id-governance/how-to-lifecycle-workflow-sync-attributes" TargetMode="External" /><Relationship Type="http://schemas.openxmlformats.org/officeDocument/2006/relationships/hyperlink" Id="rId33" Target="https://learn.microsoft.com/en-us/entra/id-governance/licensing-fundamentals" TargetMode="External" /><Relationship Type="http://schemas.openxmlformats.org/officeDocument/2006/relationships/hyperlink" Id="rId40" Target="https://learn.microsoft.com/en-us/entra/id-governance/lifecycle-workflow-execution-conditions" TargetMode="External" /><Relationship Type="http://schemas.openxmlformats.org/officeDocument/2006/relationships/hyperlink" Id="rId24" Target="https://learn.microsoft.com/en-us/entra/id-governance/lifecycle-workflow-tasks" TargetMode="External" /><Relationship Type="http://schemas.openxmlformats.org/officeDocument/2006/relationships/hyperlink" Id="rId26" Target="https://learn.microsoft.com/en-us/entra/id-governance/scenarios/automate-identity-lifecycle" TargetMode="External" /><Relationship Type="http://schemas.openxmlformats.org/officeDocument/2006/relationships/hyperlink" Id="rId57" Target="https://learn.microsoft.com/en-us/entra/id-governance/tutorial-offboard-custom-workflow-portal" TargetMode="External" /><Relationship Type="http://schemas.openxmlformats.org/officeDocument/2006/relationships/hyperlink" Id="rId31" Target="https://learn.microsoft.com/en-us/entra/id-governance/what-are-lifecycle-workflows" TargetMode="External" /><Relationship Type="http://schemas.openxmlformats.org/officeDocument/2006/relationships/hyperlink" Id="rId28" Target="https://learn.microsoft.com/en-us/entra/identity/app-provisioning/inbound-provisioning-api-faqs" TargetMode="External" /><Relationship Type="http://schemas.openxmlformats.org/officeDocument/2006/relationships/hyperlink" Id="rId16" Target="https://www.opm.gov/policy-data-oversight/data-analysis-documentation/personnel-documentation/processing-personnel-actions/guide_to_processing_personnel_actions.pdf" TargetMode="External" /><Relationship Type="http://schemas.openxmlformats.org/officeDocument/2006/relationships/hyperlink" Id="rId70" Target="index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9" Target="07-who-owns-workforce-identity.md" TargetMode="External" /><Relationship Type="http://schemas.openxmlformats.org/officeDocument/2006/relationships/hyperlink" Id="rId71" Target="09-credentials-and-certificates.md" TargetMode="External" /><Relationship Type="http://schemas.openxmlformats.org/officeDocument/2006/relationships/hyperlink" Id="rId13" Target="https://csrc.nist.gov/pubs/sp/800/53/r5/upd1/final" TargetMode="External" /><Relationship Type="http://schemas.openxmlformats.org/officeDocument/2006/relationships/hyperlink" Id="rId64" Target="https://learn.microsoft.com/en-us/entra/fundamentals/users-restore" TargetMode="External" /><Relationship Type="http://schemas.openxmlformats.org/officeDocument/2006/relationships/hyperlink" Id="rId44" Target="https://learn.microsoft.com/en-us/entra/id-governance/customize-workflow-schedule" TargetMode="External" /><Relationship Type="http://schemas.openxmlformats.org/officeDocument/2006/relationships/hyperlink" Id="rId47" Target="https://learn.microsoft.com/en-us/entra/id-governance/how-to-lifecycle-workflow-sync-attributes" TargetMode="External" /><Relationship Type="http://schemas.openxmlformats.org/officeDocument/2006/relationships/hyperlink" Id="rId33" Target="https://learn.microsoft.com/en-us/entra/id-governance/licensing-fundamentals" TargetMode="External" /><Relationship Type="http://schemas.openxmlformats.org/officeDocument/2006/relationships/hyperlink" Id="rId40" Target="https://learn.microsoft.com/en-us/entra/id-governance/lifecycle-workflow-execution-conditions" TargetMode="External" /><Relationship Type="http://schemas.openxmlformats.org/officeDocument/2006/relationships/hyperlink" Id="rId24" Target="https://learn.microsoft.com/en-us/entra/id-governance/lifecycle-workflow-tasks" TargetMode="External" /><Relationship Type="http://schemas.openxmlformats.org/officeDocument/2006/relationships/hyperlink" Id="rId26" Target="https://learn.microsoft.com/en-us/entra/id-governance/scenarios/automate-identity-lifecycle" TargetMode="External" /><Relationship Type="http://schemas.openxmlformats.org/officeDocument/2006/relationships/hyperlink" Id="rId57" Target="https://learn.microsoft.com/en-us/entra/id-governance/tutorial-offboard-custom-workflow-portal" TargetMode="External" /><Relationship Type="http://schemas.openxmlformats.org/officeDocument/2006/relationships/hyperlink" Id="rId31" Target="https://learn.microsoft.com/en-us/entra/id-governance/what-are-lifecycle-workflows" TargetMode="External" /><Relationship Type="http://schemas.openxmlformats.org/officeDocument/2006/relationships/hyperlink" Id="rId28" Target="https://learn.microsoft.com/en-us/entra/identity/app-provisioning/inbound-provisioning-api-faqs" TargetMode="External" /><Relationship Type="http://schemas.openxmlformats.org/officeDocument/2006/relationships/hyperlink" Id="rId16" Target="https://www.opm.gov/policy-data-oversight/data-analysis-documentation/personnel-documentation/processing-personnel-actions/guide_to_processing_personnel_actions.pdf" TargetMode="External" /><Relationship Type="http://schemas.openxmlformats.org/officeDocument/2006/relationships/hyperlink" Id="rId70" Target="index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08 — Joiner, Mover, Leaver</dc:title>
  <dc:creator/>
  <dc:description>The five lifecycle events and the identity actions each one causes; who creates accounts (provisioning) and who acts on them (Lifecycle Workflows); triggers, schedules and built-in tasks; emergency termination, rehire, conversion and deletion.</dc:description>
  <cp:keywords/>
  <dcterms:created xsi:type="dcterms:W3CDTF">2026-10-20T23:25:19Z</dcterms:created>
  <dcterms:modified xsi:type="dcterms:W3CDTF">2026-10-20T23:25:19Z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book">
    <vt:lpwstr>B03</vt:lpwstr>
  </property>
  <property fmtid="{D5CDD505-2E9C-101B-9397-08002B2CF9AE}" pid="5" name="doc-type">
    <vt:lpwstr>workbook-chapter</vt:lpwstr>
  </property>
  <property fmtid="{D5CDD505-2E9C-101B-9397-08002B2CF9AE}" pid="6" name="family">
    <vt:lpwstr>b03-hr-identity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lifecycle">
    <vt:lpwstr>active</vt:lpwstr>
  </property>
  <property fmtid="{D5CDD505-2E9C-101B-9397-08002B2CF9AE}" pid="12" name="lifecycle_review">
    <vt:lpwstr>2027-04-01</vt:lpwstr>
  </property>
  <property fmtid="{D5CDD505-2E9C-101B-9397-08002B2CF9AE}" pid="13" name="part">
    <vt:lpwstr>How</vt:lpwstr>
  </property>
  <property fmtid="{D5CDD505-2E9C-101B-9397-08002B2CF9AE}" pid="14" name="series-order">
    <vt:lpwstr>8</vt:lpwstr>
  </property>
  <property fmtid="{D5CDD505-2E9C-101B-9397-08002B2CF9AE}" pid="15" name="status">
    <vt:lpwstr>draft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