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svg" ContentType="image/svg+xml"/>
  <Override PartName="/word/media/rId9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Appendix A — Lifecycle Rules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0" w:name="appendix-a-lifecycle-rules"/>
    <w:p>
      <w:pPr>
        <w:pStyle w:val="Heading1"/>
      </w:pPr>
      <w:r>
        <w:t xml:space="preserve">Appendix A — Lifecycle Rules</w:t>
      </w:r>
    </w:p>
    <w:p>
      <w:pPr>
        <w:pStyle w:val="FirstParagraph"/>
      </w:pPr>
      <w:r>
        <w:rPr>
          <w:i/>
          <w:iCs/>
        </w:rPr>
        <w:t xml:space="preserve">Automation is only as safe as the rules for the cases nobody planned for.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appendix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Which records are in scope. Why leave is not a leaver. What wins when two events land together. Rescinded offers, cancellations and partial leavers. The quarantine contract. Manager links, rehire and conversion.</w:t>
            </w:r>
          </w:p>
          <w:p/>
        </w:tc>
      </w:tr>
    </w:tbl>
    <w:bookmarkStart w:id="14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A scope filter decides which HR records provision at all. Write it down, version it, and treat a change to it as a change to access policy: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Included:</w:t>
      </w:r>
      <w:r>
        <w:t xml:space="preserve"> </w:t>
      </w:r>
      <w:r>
        <w:t xml:space="preserve">covered worker types in an active, pre-hire or leave status, within a lookahead limit for future-dated hires.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Excluded:</w:t>
      </w:r>
      <w:r>
        <w:t xml:space="preserve"> </w:t>
      </w:r>
      <w:r>
        <w:t xml:space="preserve">test and training records, historical records, populations without an approved lifecycle owner, and named individuals on a governed exclusion list with a reason and an expiry.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exclusion leaves evidence:</w:t>
      </w:r>
      <w:r>
        <w:t xml:space="preserve"> </w:t>
      </w:r>
      <w:r>
        <w:t xml:space="preserve">the record, the rule that excluded it, and the version of the filter in force. A record that silently fails to provision is a missing identity (Chapter 11).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directory-side filter matches the middleware filter.</w:t>
      </w:r>
      <w:r>
        <w:t xml:space="preserve"> </w:t>
      </w:r>
      <w:r>
        <w:t xml:space="preserve">The API-driven provisioning app applies its own scoping filter rules to every record it receives,</w:t>
      </w:r>
      <w:r>
        <w:rPr>
          <w:rStyle w:val="FootnoteReference"/>
        </w:rPr>
        <w:footnoteReference w:id="12"/>
      </w:r>
      <w:r>
        <w:t xml:space="preserve"> </w:t>
      </w:r>
      <w:r>
        <w:t xml:space="preserve">so if Entra provisioning scoping and the middleware disagree, the difference is drift.</w:t>
      </w:r>
    </w:p>
    <w:bookmarkEnd w:id="14"/>
    <w:bookmarkStart w:id="18" w:name="leave-is-not-a-leaver"/>
    <w:p>
      <w:pPr>
        <w:pStyle w:val="Heading2"/>
      </w:pPr>
      <w:r>
        <w:t xml:space="preserve">Leave is not a leaver</w:t>
      </w:r>
    </w:p>
    <w:p>
      <w:pPr>
        <w:pStyle w:val="FirstParagraph"/>
      </w:pPr>
      <w:r>
        <w:t xml:space="preserve">Furlough, leave without pay, suspension and similar nonpay or nonduty statuses (the 4xx nature-of-action family, Chapter 08 — for example 450 Suspension, 460 LWOP, 471 and 472 Furlough) keep the person.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The account stays, a status is stamped, and policy — Conditional Access, access packages — restricts what it can do. Return to duty (the 2xx family) lifts the restrictions.</w:t>
      </w:r>
      <w:r>
        <w:rPr>
          <w:rStyle w:val="FootnoteReference"/>
        </w:rPr>
        <w:footnoteReference w:id="17"/>
      </w:r>
      <w:r>
        <w:t xml:space="preserve"> </w:t>
      </w:r>
      <w:r>
        <w:t xml:space="preserve">Details and secondments are movers, not leavers. Treating any of these as a separation locks out people who are still employed and destroys their access history.</w:t>
      </w:r>
    </w:p>
    <w:bookmarkEnd w:id="18"/>
    <w:bookmarkStart w:id="22" w:name="precedence"/>
    <w:p>
      <w:pPr>
        <w:pStyle w:val="Heading2"/>
      </w:pPr>
      <w:r>
        <w:t xml:space="preserve">Precedence</w:t>
      </w:r>
    </w:p>
    <w:p>
      <w:pPr>
        <w:pStyle w:val="FirstParagraph"/>
      </w:pPr>
      <w:r>
        <w:t xml:space="preserve">When two personnel actions for one person land in the same processing cycle, order them by effective date and then apply these rules:</w:t>
      </w:r>
    </w:p>
    <w:p>
      <w:pPr>
        <w:pStyle w:val="CaptionedFigure"/>
      </w:pPr>
      <w:r>
        <w:drawing>
          <wp:inline>
            <wp:extent cx="3009900" cy="4819650"/>
            <wp:effectExtent b="0" l="0" r="0" t="0"/>
            <wp:docPr descr="Event precedence: a separation wins; a worker-type change is applied before a mover; nonpay status restricts but never disables as a leaver; corrections and cancellations re-derive from the corrected record." title="" id="20" name="Picture"/>
            <a:graphic>
              <a:graphicData uri="http://schemas.openxmlformats.org/drawingml/2006/picture">
                <pic:pic>
                  <pic:nvPicPr>
                    <pic:cNvPr descr="../../images/diagrams/b03-hr-identity/svg/appa-event-precedence.svg" id="2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Event precedence: a separation wins; a worker-type change is applied before a mover; nonpay status restricts but never disables as a leaver; corrections and cancellations re-derive from the corrected record.</w:t>
      </w:r>
    </w:p>
    <w:bookmarkEnd w:id="22"/>
    <w:bookmarkStart w:id="24" w:name="rescinded-offers-and-cancellations"/>
    <w:p>
      <w:pPr>
        <w:pStyle w:val="Heading2"/>
      </w:pPr>
      <w:r>
        <w:t xml:space="preserve">Rescinded offers and cancellations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rescinded offer cleans up.</w:t>
      </w:r>
      <w:r>
        <w:t xml:space="preserve"> </w:t>
      </w:r>
      <w:r>
        <w:t xml:space="preserve">An account created before day one for a hire that never happens is disabled and disposed of on a short retention, with the cancellation recorded as its reason.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cancelled action reverses with evidence.</w:t>
      </w:r>
      <w:r>
        <w:t xml:space="preserve"> </w:t>
      </w:r>
      <w:r>
        <w:t xml:space="preserve">A cancellation or correction (nature-of-action 001 Cancellation, 002 Correction)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re-derives the person’s state from the corrected record. A cancelled separation re-enables what the separation disabled; it does not restore manually granted access without review.</w:t>
      </w:r>
    </w:p>
    <w:bookmarkEnd w:id="24"/>
    <w:bookmarkStart w:id="27" w:name="partial-leavers"/>
    <w:p>
      <w:pPr>
        <w:pStyle w:val="Heading2"/>
      </w:pPr>
      <w:r>
        <w:t xml:space="preserve">Partial leavers</w:t>
      </w:r>
    </w:p>
    <w:p>
      <w:pPr>
        <w:pStyle w:val="FirstParagraph"/>
      </w:pPr>
      <w:r>
        <w:t xml:space="preserve">A leaver whose sign-in is disabled but whose sessions were not revoked — or whose PIV revocation failed — is a security incident, not a backlog item. The leaver run records every step; a rerun resumes from the first incomplete step; and the block steps (disable, revoke sessions) are verified by reading the account back, not assumed from a successful call (Chapter 09). Lifecycle Workflows has built-in tasks for both,</w:t>
      </w:r>
      <w:r>
        <w:t xml:space="preserve"> </w:t>
      </w:r>
      <w:r>
        <w:t xml:space="preserve">“Disable user account”</w:t>
      </w:r>
      <w:r>
        <w:t xml:space="preserve"> </w:t>
      </w:r>
      <w:r>
        <w:t xml:space="preserve">and</w:t>
      </w:r>
      <w:r>
        <w:t xml:space="preserve"> </w:t>
      </w:r>
      <w:r>
        <w:t xml:space="preserve">“Revoke all refresh tokens for user”</w:t>
      </w:r>
      <w:r>
        <w:t xml:space="preserve">, but the disable task doesn’t support users who hold Microsoft Entra role assignments or belong to or own role-assignable groups, so privileged leavers need their own verified block path.</w:t>
      </w:r>
      <w:r>
        <w:rPr>
          <w:rStyle w:val="FootnoteReference"/>
        </w:rPr>
        <w:footnoteReference w:id="25"/>
      </w:r>
    </w:p>
    <w:bookmarkEnd w:id="27"/>
    <w:bookmarkStart w:id="28" w:name="the-quarantine-contract"/>
    <w:p>
      <w:pPr>
        <w:pStyle w:val="Heading2"/>
      </w:pPr>
      <w:r>
        <w:t xml:space="preserve">The quarantine contract</w:t>
      </w:r>
    </w:p>
    <w:p>
      <w:pPr>
        <w:pStyle w:val="FirstParagraph"/>
      </w:pPr>
      <w:r>
        <w:t xml:space="preserve">Records that fail validation, or actions that fail permanently, go to a quarantine with a defined contract:</w:t>
      </w:r>
    </w:p>
    <w:p>
      <w:pPr>
        <w:pStyle w:val="Compact"/>
        <w:numPr>
          <w:ilvl w:val="0"/>
          <w:numId w:val="1003"/>
        </w:numPr>
      </w:pPr>
      <w:r>
        <w:t xml:space="preserve">every entry carries a failure reason, an unchanged copy of the HR record, and the attempted payload;</w:t>
      </w:r>
    </w:p>
    <w:p>
      <w:pPr>
        <w:pStyle w:val="Compact"/>
        <w:numPr>
          <w:ilvl w:val="0"/>
          <w:numId w:val="1003"/>
        </w:numPr>
      </w:pPr>
      <w:r>
        <w:t xml:space="preserve">nothing in quarantine resolves itself — a person decides, and the decision is recorded;</w:t>
      </w:r>
    </w:p>
    <w:p>
      <w:pPr>
        <w:pStyle w:val="Compact"/>
        <w:numPr>
          <w:ilvl w:val="0"/>
          <w:numId w:val="1003"/>
        </w:numPr>
      </w:pPr>
      <w:r>
        <w:t xml:space="preserve">each failure class has a service level and an escalation path, with separation-related failures at the top;</w:t>
      </w:r>
    </w:p>
    <w:p>
      <w:pPr>
        <w:pStyle w:val="Compact"/>
        <w:numPr>
          <w:ilvl w:val="0"/>
          <w:numId w:val="1003"/>
        </w:numPr>
      </w:pPr>
      <w:r>
        <w:t xml:space="preserve">a resolved entry is re-injected through the normal path, never applied by hand to the directory;</w:t>
      </w:r>
    </w:p>
    <w:p>
      <w:pPr>
        <w:pStyle w:val="Compact"/>
        <w:numPr>
          <w:ilvl w:val="0"/>
          <w:numId w:val="1003"/>
        </w:numPr>
      </w:pPr>
      <w:r>
        <w:t xml:space="preserve">“won’t fix”</w:t>
      </w:r>
      <w:r>
        <w:t xml:space="preserve"> </w:t>
      </w:r>
      <w:r>
        <w:t xml:space="preserve">is an audited decision with an owner and a reason.</w:t>
      </w:r>
    </w:p>
    <w:bookmarkEnd w:id="28"/>
    <w:bookmarkStart w:id="31" w:name="manager-links"/>
    <w:p>
      <w:pPr>
        <w:pStyle w:val="Heading2"/>
      </w:pPr>
      <w:r>
        <w:t xml:space="preserve">Manager links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relationship carries approvals, reviews and org charts (Chapter 10) — entitlement management, for example, finds a requestor’s approving manager from it</w:t>
      </w:r>
      <w:r>
        <w:rPr>
          <w:rStyle w:val="FootnoteReference"/>
        </w:rPr>
        <w:footnoteReference w:id="29"/>
      </w:r>
      <w:r>
        <w:t xml:space="preserve"> </w:t>
      </w:r>
      <w:r>
        <w:t xml:space="preserve">— so its integrity rules are explicit:</w:t>
      </w:r>
    </w:p>
    <w:p>
      <w:pPr>
        <w:pStyle w:val="Compact"/>
        <w:numPr>
          <w:ilvl w:val="0"/>
          <w:numId w:val="1004"/>
        </w:numPr>
      </w:pPr>
      <w:r>
        <w:t xml:space="preserve">an unresolved manager reference never blocks a joiner — the account is created and the link is resolved when the supervisor’s record arrives;</w:t>
      </w:r>
    </w:p>
    <w:p>
      <w:pPr>
        <w:pStyle w:val="Compact"/>
        <w:numPr>
          <w:ilvl w:val="0"/>
          <w:numId w:val="1004"/>
        </w:numPr>
      </w:pPr>
      <w:r>
        <w:t xml:space="preserve">a manager reference that points at a separated person is a finding;</w:t>
      </w:r>
    </w:p>
    <w:p>
      <w:pPr>
        <w:pStyle w:val="Compact"/>
        <w:numPr>
          <w:ilvl w:val="0"/>
          <w:numId w:val="1004"/>
        </w:numPr>
      </w:pPr>
      <w:r>
        <w:t xml:space="preserve">when a supervisor separates, their direct reports are handed back to HR for reassignment. HR, not IT, writes the new supervisor.</w:t>
      </w:r>
    </w:p>
    <w:bookmarkEnd w:id="31"/>
    <w:bookmarkStart w:id="39" w:name="rehire-and-conversion"/>
    <w:p>
      <w:pPr>
        <w:pStyle w:val="Heading2"/>
      </w:pPr>
      <w:r>
        <w:t xml:space="preserve">Rehire and conversion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Rehire</w:t>
      </w:r>
      <w:r>
        <w:t xml:space="preserve"> </w:t>
      </w:r>
      <w:r>
        <w:t xml:space="preserve">re-links the returning person to their prior identity through the enterprise person key (Chapter 04). The provisioning service matches incoming records to existing users on a configured attribute pair (by default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), so the key the feed sends decides whether a rehire re-links or creates a duplicate.</w:t>
      </w:r>
      <w:r>
        <w:rPr>
          <w:rStyle w:val="FootnoteReference"/>
        </w:rPr>
        <w:footnoteReference w:id="32"/>
      </w:r>
      <w:r>
        <w:t xml:space="preserve"> </w:t>
      </w:r>
      <w:r>
        <w:t xml:space="preserve">Manually granted access is not restored; it is requested again and reviewed.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Conversion</w:t>
      </w:r>
      <w:r>
        <w:t xml:space="preserve"> </w:t>
      </w:r>
      <w:r>
        <w:t xml:space="preserve">keeps the person and the key and re-derives every attribute from the new worker type. Manually assigned access tied to the old worker type is removed, privileged roles are reviewed, and a conversion from employee to contractor is treated as a risk case with a mandatory review.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36">
              <w:r>
                <w:rPr>
                  <w:rStyle w:val="Hyperlink"/>
                </w:rPr>
                <w:t xml:space="preserve">← Previous: Chapter 13 — Reference Deployment (Illustrative)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Book 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Next: Appendix B — Security and Privacy Assessment →</w:t>
              </w:r>
            </w:hyperlink>
          </w:p>
          <w:p/>
        </w:tc>
      </w:tr>
    </w:tbl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provisioning”</w:t>
      </w:r>
      <w:r>
        <w:t xml:space="preserve"> </w:t>
      </w:r>
      <w:r>
        <w:t xml:space="preserve">(scoping filters; matching attribute pair, by default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),</w:t>
      </w:r>
      <w:r>
        <w:t xml:space="preserve"> </w:t>
      </w:r>
      <w:hyperlink r:id="rId13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Guide to Processing Personnel Actions</w:t>
      </w:r>
      <w:r>
        <w:t xml:space="preserve">, October 2026 edition (Chapter 1, nature-of-action series; Chapter 15, Placement in Nonpay or Nonduty Status; Chapter 16, Return to Duty from Nonpay Status; Chapter 32, Corrections and Cancellations),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Guide to Processing Personnel Actions</w:t>
      </w:r>
      <w:r>
        <w:t xml:space="preserve">, October 2026 edition (Chapter 1, nature-of-action series; Chapter 15, Placement in Nonpay or Nonduty Status; Chapter 16, Return to Duty from Nonpay Status; Chapter 32, Corrections and Cancellations),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Guide to Processing Personnel Actions</w:t>
      </w:r>
      <w:r>
        <w:t xml:space="preserve">, October 2026 edition (Chapter 1, nature-of-action series; Chapter 15, Placement in Nonpay or Nonduty Status; Chapter 16, Return to Duty from Nonpay Status; Chapter 32, Corrections and Cancellations),</w:t>
      </w:r>
      <w:r>
        <w:t xml:space="preserve"> </w:t>
      </w:r>
      <w:hyperlink r:id="rId16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tasks”</w:t>
      </w:r>
      <w:r>
        <w:t xml:space="preserve"> </w:t>
      </w:r>
      <w:r>
        <w:t xml:space="preserve">(Disable user account; Revoke all refresh tokens for user),</w:t>
      </w:r>
      <w:r>
        <w:t xml:space="preserve"> </w:t>
      </w:r>
      <w:hyperlink r:id="rId26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“Change approval and requestor information settings for an access package in entitlement management”</w:t>
      </w:r>
      <w:r>
        <w:t xml:space="preserve"> </w:t>
      </w:r>
      <w:r>
        <w:t xml:space="preserve">(the manager is found from the user’s Manager attribute),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https://learn.microsoft.com/en-us/entra/id-governance/entitlement-management-access-package-approval-policy</w:t>
        </w:r>
      </w:hyperlink>
      <w:r>
        <w:t xml:space="preserve"> </w:t>
      </w:r>
      <w:r>
        <w:t xml:space="preserve">(accessed Oct 20,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provisioning”</w:t>
      </w:r>
      <w:r>
        <w:t xml:space="preserve"> </w:t>
      </w:r>
      <w:r>
        <w:t xml:space="preserve">(scoping filters; matching attribute pair, by default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),</w:t>
      </w:r>
      <w:r>
        <w:t xml:space="preserve"> </w:t>
      </w:r>
      <w:hyperlink r:id="rId13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sv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hyperlink" Id="rId36" Target="13-reference-deployment.md" TargetMode="External" /><Relationship Type="http://schemas.openxmlformats.org/officeDocument/2006/relationships/hyperlink" Id="rId38" Target="appendix-b-security-and-privacy.md" TargetMode="External" /><Relationship Type="http://schemas.openxmlformats.org/officeDocument/2006/relationships/hyperlink" Id="rId30" Target="https://learn.microsoft.com/en-us/entra/id-governance/entitlement-management-access-package-approval-policy" TargetMode="External" /><Relationship Type="http://schemas.openxmlformats.org/officeDocument/2006/relationships/hyperlink" Id="rId26" Target="https://learn.microsoft.com/en-us/entra/id-governance/lifecycle-workflow-tasks" TargetMode="External" /><Relationship Type="http://schemas.openxmlformats.org/officeDocument/2006/relationships/hyperlink" Id="rId13" Target="https://learn.microsoft.com/en-us/entra/identity/app-provisioning/inbound-provisioning-api-faqs" TargetMode="External" /><Relationship Type="http://schemas.openxmlformats.org/officeDocument/2006/relationships/hyperlink" Id="rId16" Target="https://www.opm.gov/policy-data-oversight/data-analysis-documentation/personnel-documentation/processing-personnel-actions/guide_to_processing_personnel_actions.pdf" TargetMode="External" /><Relationship Type="http://schemas.openxmlformats.org/officeDocument/2006/relationships/hyperlink" Id="rId37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13-reference-deployment.md" TargetMode="External" /><Relationship Type="http://schemas.openxmlformats.org/officeDocument/2006/relationships/hyperlink" Id="rId38" Target="appendix-b-security-and-privacy.md" TargetMode="External" /><Relationship Type="http://schemas.openxmlformats.org/officeDocument/2006/relationships/hyperlink" Id="rId30" Target="https://learn.microsoft.com/en-us/entra/id-governance/entitlement-management-access-package-approval-policy" TargetMode="External" /><Relationship Type="http://schemas.openxmlformats.org/officeDocument/2006/relationships/hyperlink" Id="rId26" Target="https://learn.microsoft.com/en-us/entra/id-governance/lifecycle-workflow-tasks" TargetMode="External" /><Relationship Type="http://schemas.openxmlformats.org/officeDocument/2006/relationships/hyperlink" Id="rId13" Target="https://learn.microsoft.com/en-us/entra/identity/app-provisioning/inbound-provisioning-api-faqs" TargetMode="External" /><Relationship Type="http://schemas.openxmlformats.org/officeDocument/2006/relationships/hyperlink" Id="rId16" Target="https://www.opm.gov/policy-data-oversight/data-analysis-documentation/personnel-documentation/processing-personnel-actions/guide_to_processing_personnel_actions.pdf" TargetMode="External" /><Relationship Type="http://schemas.openxmlformats.org/officeDocument/2006/relationships/hyperlink" Id="rId37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 — Lifecycle Rules</dc:title>
  <dc:creator/>
  <dc:description>The rules that keep HR-driven lifecycle automation safe: scope, leave versus leaver, event precedence, rescinded offers, cancellations, partial leavers, the quarantine contract, manager links, rehire and conversion.</dc:description>
  <cp:keywords/>
  <dcterms:created xsi:type="dcterms:W3CDTF">2026-10-20T23:25:23Z</dcterms:created>
  <dcterms:modified xsi:type="dcterms:W3CDTF">2026-10-20T23:25:23Z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B03</vt:lpwstr>
  </property>
  <property fmtid="{D5CDD505-2E9C-101B-9397-08002B2CF9AE}" pid="5" name="doc-type">
    <vt:lpwstr>workbook-chapter</vt:lpwstr>
  </property>
  <property fmtid="{D5CDD505-2E9C-101B-9397-08002B2CF9AE}" pid="6" name="family">
    <vt:lpwstr>b03-hr-identity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2027-04-01</vt:lpwstr>
  </property>
  <property fmtid="{D5CDD505-2E9C-101B-9397-08002B2CF9AE}" pid="13" name="part">
    <vt:lpwstr>Appendix</vt:lpwstr>
  </property>
  <property fmtid="{D5CDD505-2E9C-101B-9397-08002B2CF9AE}" pid="14" name="series-order">
    <vt:lpwstr>90</vt:lpwstr>
  </property>
  <property fmtid="{D5CDD505-2E9C-101B-9397-08002B2CF9AE}" pid="15" name="status">
    <vt:lpwstr>draft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