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5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Appendix B — PIM Role Settings Reference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64" w:name="appendix-b-pim-role-settings-reference"/>
    <w:p>
      <w:pPr>
        <w:pStyle w:val="Heading1"/>
      </w:pPr>
      <w:r>
        <w:t xml:space="preserve">Appendix B — PIM Role Settings Reference</w:t>
      </w:r>
    </w:p>
    <w:p>
      <w:pPr>
        <w:pStyle w:val="FirstParagraph"/>
      </w:pPr>
      <w:r>
        <w:rPr>
          <w:i/>
          <w:iCs/>
        </w:rPr>
        <w:t xml:space="preserve">One row per role, so that the setting in the tenant, the file in the repository and the statement in the security plan can be compared line by line.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appendix</w:t>
            </w:r>
          </w:p>
        </w:tc>
      </w:tr>
      <w:tr>
        <w:trPr>
          <w:cantSplit/>
        </w:trPr>
        <w:tc>
          <w:tcPr>
            <w:tcMar>
              <w:top w:w="108" w:type="dxa"/>
              <w:bottom w:w="108" w:type="dxa"/>
            </w:tcMar>
          </w:tcPr>
          <w:p>
            <w:pPr>
              <w:pStyle w:val="BodyText"/>
            </w:pPr>
            <w:pPr>
              <w:spacing w:before="16" w:after="16"/>
            </w:pPr>
            <w:r>
              <w:t xml:space="preserve">The role settings the program applies in Privileged Identity Management (PIM) to each Microsoft Entra administrative role, grouped by the privilege tiers of</w:t>
            </w:r>
            <w:r>
              <w:t xml:space="preserve"> </w:t>
            </w:r>
            <w:hyperlink r:id="rId12">
              <w:r>
                <w:rPr>
                  <w:rStyle w:val="Hyperlink"/>
                </w:rPr>
                <w:t xml:space="preserve">Chapter 04</w:t>
              </w:r>
            </w:hyperlink>
            <w:r>
              <w:t xml:space="preserve">. The settings common to every role, the notification recipients by tier, where these values tighten</w:t>
            </w:r>
            <w:r>
              <w:t xml:space="preserve"> </w:t>
            </w:r>
            <w:hyperlink r:id="rId13">
              <w:r>
                <w:rPr>
                  <w:rStyle w:val="Hyperlink"/>
                </w:rPr>
                <w:t xml:space="preserve">Book 02, Chapter 09</w:t>
              </w:r>
            </w:hyperlink>
            <w:r>
              <w:t xml:space="preserve">, and the role template IDs used to find each role’s policy.</w:t>
            </w:r>
          </w:p>
          <w:p/>
        </w:tc>
      </w:tr>
    </w:tbl>
    <w:p>
      <w:pPr>
        <w:pStyle w:val="BodyText"/>
      </w:pPr>
      <w:r>
        <w:t xml:space="preserve">The values are the program’s design. The ranges and behaviors they sit inside are Microsoft’s, and</w:t>
      </w:r>
      <w:r>
        <w:t xml:space="preserve"> </w:t>
      </w:r>
      <w:hyperlink r:id="rId14">
        <w:r>
          <w:rPr>
            <w:rStyle w:val="Hyperlink"/>
          </w:rPr>
          <w:t xml:space="preserve">Chapter 08</w:t>
        </w:r>
      </w:hyperlink>
      <w:r>
        <w:t xml:space="preserve"> </w:t>
      </w:r>
      <w:r>
        <w:t xml:space="preserve">documents them: an activation maximum of 1 to 24 hours, information-only ticket numbers, a fixed 24-hour approval window, single-stage approval only, and settings defined independently for each role.</w:t>
      </w:r>
      <w:r>
        <w:rPr>
          <w:rStyle w:val="FootnoteReference"/>
        </w:rPr>
        <w:footnoteReference w:id="15"/>
      </w:r>
      <w:r>
        <w:rPr>
          <w:rStyle w:val="FootnoteReference"/>
        </w:rPr>
        <w:footnoteReference w:id="17"/>
      </w:r>
      <w:r>
        <w:t xml:space="preserve"> </w:t>
      </w:r>
      <w:hyperlink r:id="rId19">
        <w:r>
          <w:rPr>
            <w:rStyle w:val="Hyperlink"/>
          </w:rPr>
          <w:t xml:space="preserve">Chapter 08</w:t>
        </w:r>
      </w:hyperlink>
      <w:r>
        <w:t xml:space="preserve"> </w:t>
      </w:r>
      <w:r>
        <w:t xml:space="preserve">shows how to apply a tier’s values with Microsoft Graph, and</w:t>
      </w:r>
      <w:r>
        <w:t xml:space="preserve"> </w:t>
      </w:r>
      <w:hyperlink r:id="rId20">
        <w:r>
          <w:rPr>
            <w:rStyle w:val="Hyperlink"/>
          </w:rPr>
          <w:t xml:space="preserve">Chapter 10</w:t>
        </w:r>
      </w:hyperlink>
      <w:r>
        <w:t xml:space="preserve"> </w:t>
      </w:r>
      <w:r>
        <w:t xml:space="preserve">keeps one file per role policy so drift from this table is detectable.</w:t>
      </w:r>
    </w:p>
    <w:bookmarkStart w:id="23" w:name="conventions"/>
    <w:p>
      <w:pPr>
        <w:pStyle w:val="Heading2"/>
      </w:pPr>
      <w:r>
        <w:t xml:space="preserve">Conventions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Term</w:t>
            </w:r>
          </w:p>
        </w:tc>
        <w:tc>
          <w:tcPr/>
          <w:p>
            <w:pPr>
              <w:pStyle w:val="Compact"/>
            </w:pPr>
            <w:r>
              <w:t xml:space="preserve">Meaning</w:t>
            </w:r>
          </w:p>
        </w:tc>
      </w:tr>
      <w:tr>
        <w:tc>
          <w:tcPr/>
          <w:p>
            <w:pPr>
              <w:pStyle w:val="Compact"/>
            </w:pPr>
            <w:r>
              <w:rPr>
                <w:rStyle w:val="VerbatimChar"/>
              </w:rPr>
              <w:t xml:space="preserve">c1</w:t>
            </w:r>
          </w:p>
        </w:tc>
        <w:tc>
          <w:tcPr/>
          <w:p>
            <w:pPr>
              <w:pStyle w:val="Compact"/>
            </w:pPr>
            <w:r>
              <w:t xml:space="preserve">Authentication context</w:t>
            </w:r>
            <w:r>
              <w:t xml:space="preserve"> </w:t>
            </w:r>
            <w:r>
              <w:rPr>
                <w:rStyle w:val="VerbatimChar"/>
              </w:rPr>
              <w:t xml:space="preserve">FMP-PIM-Activation</w:t>
            </w:r>
            <w:r>
              <w:t xml:space="preserve">, enforced by Conditional Access policy</w:t>
            </w:r>
            <w:r>
              <w:t xml:space="preserve"> </w:t>
            </w:r>
            <w:r>
              <w:rPr>
                <w:rStyle w:val="VerbatimChar"/>
              </w:rPr>
              <w:t xml:space="preserve">PIM-Activation-c1</w:t>
            </w:r>
            <w:r>
              <w:t xml:space="preserve">: authentication strength</w:t>
            </w:r>
            <w:r>
              <w:t xml:space="preserve"> </w:t>
            </w:r>
            <w:r>
              <w:rPr>
                <w:rStyle w:val="VerbatimChar"/>
              </w:rPr>
              <w:t xml:space="preserve">FMP-Privileged-SeparateDevice</w:t>
            </w:r>
            <w:r>
              <w:t xml:space="preserve">, compliant device, sign-in frequency every time (</w:t>
            </w:r>
            <w:hyperlink r:id="rId21">
              <w:r>
                <w:rPr>
                  <w:rStyle w:val="Hyperlink"/>
                </w:rPr>
                <w:t xml:space="preserve">Chapter 08</w:t>
              </w:r>
            </w:hyperlink>
            <w:r>
              <w:t xml:space="preserve">)</w:t>
            </w:r>
          </w:p>
        </w:tc>
      </w:tr>
      <w:tr>
        <w:tc>
          <w:tcPr/>
          <w:p>
            <w:pPr>
              <w:pStyle w:val="Compact"/>
            </w:pPr>
            <w:r>
              <w:rPr>
                <w:rStyle w:val="VerbatimChar"/>
              </w:rPr>
              <w:t xml:space="preserve">PIM-Approvers-T0</w:t>
            </w:r>
          </w:p>
        </w:tc>
        <w:tc>
          <w:tcPr/>
          <w:p>
            <w:pPr>
              <w:pStyle w:val="Compact"/>
            </w:pPr>
            <w:r>
              <w:t xml:space="preserve">Approvers for Tier 0 activations, drawn from the security office; no member is eligible for a Tier 0 role</w:t>
            </w:r>
          </w:p>
        </w:tc>
      </w:tr>
      <w:tr>
        <w:tc>
          <w:tcPr/>
          <w:p>
            <w:pPr>
              <w:pStyle w:val="Compact"/>
            </w:pPr>
            <w:r>
              <w:rPr>
                <w:rStyle w:val="VerbatimChar"/>
              </w:rPr>
              <w:t xml:space="preserve">PIM-Approvers-T1</w:t>
            </w:r>
          </w:p>
        </w:tc>
        <w:tc>
          <w:tcPr/>
          <w:p>
            <w:pPr>
              <w:pStyle w:val="Compact"/>
            </w:pPr>
            <w:r>
              <w:t xml:space="preserve">Approvers for Tier 1 activations, drawn from identity engineering leads and the security office; no member is eligible for the role they approve</w:t>
            </w:r>
          </w:p>
        </w:tc>
      </w:tr>
      <w:tr>
        <w:tc>
          <w:tcPr/>
          <w:p>
            <w:pPr>
              <w:pStyle w:val="Compact"/>
            </w:pPr>
            <w:r>
              <w:rPr>
                <w:rStyle w:val="VerbatimChar"/>
              </w:rPr>
              <w:t xml:space="preserve">PIM-Approvers-T2</w:t>
            </w:r>
          </w:p>
        </w:tc>
        <w:tc>
          <w:tcPr/>
          <w:p>
            <w:pPr>
              <w:pStyle w:val="Compact"/>
            </w:pPr>
            <w:r>
              <w:t xml:space="preserve">Used only for a Tier 2 role whose risk acceptance has been withdrawn, so that it requires approval</w:t>
            </w:r>
          </w:p>
        </w:tc>
      </w:tr>
      <w:tr>
        <w:tc>
          <w:tcPr/>
          <w:p>
            <w:pPr>
              <w:pStyle w:val="Compact"/>
            </w:pPr>
            <w:r>
              <w:t xml:space="preserve">SOC mailbox</w:t>
            </w:r>
          </w:p>
        </w:tc>
        <w:tc>
          <w:tcPr/>
          <w:p>
            <w:pPr>
              <w:pStyle w:val="Compact"/>
            </w:pPr>
            <w:r>
              <w:t xml:space="preserve">The security operations distribution list that receives every activation alert</w:t>
            </w:r>
          </w:p>
        </w:tc>
      </w:tr>
      <w:tr>
        <w:tc>
          <w:tcPr/>
          <w:p>
            <w:pPr>
              <w:pStyle w:val="Compact"/>
            </w:pPr>
            <w:r>
              <w:t xml:space="preserve">Eligible to</w:t>
            </w:r>
          </w:p>
        </w:tc>
        <w:tc>
          <w:tcPr/>
          <w:p>
            <w:pPr>
              <w:pStyle w:val="Compact"/>
            </w:pPr>
            <w:r>
              <w:t xml:space="preserve">The role-assignable group that holds the eligible assignment (</w:t>
            </w:r>
            <w:hyperlink r:id="rId22">
              <w:r>
                <w:rPr>
                  <w:rStyle w:val="Hyperlink"/>
                </w:rPr>
                <w:t xml:space="preserve">Chapter 04</w:t>
              </w:r>
            </w:hyperlink>
            <w:r>
              <w:t xml:space="preserve">)</w:t>
            </w:r>
          </w:p>
        </w:tc>
      </w:tr>
    </w:tbl>
    <w:p>
      <w:pPr>
        <w:pStyle w:val="BodyText"/>
      </w:pPr>
      <w:r>
        <w:t xml:space="preserve">Every value marked</w:t>
      </w:r>
      <w:r>
        <w:t xml:space="preserve"> </w:t>
      </w:r>
      <w:r>
        <w:t xml:space="preserve">“Required”</w:t>
      </w:r>
      <w:r>
        <w:t xml:space="preserve"> </w:t>
      </w:r>
      <w:r>
        <w:t xml:space="preserve">for approval also requires the approver’s own justification (</w:t>
      </w:r>
      <w:r>
        <w:rPr>
          <w:rStyle w:val="VerbatimChar"/>
        </w:rPr>
        <w:t xml:space="preserve">isApproverJustificationRequired</w:t>
      </w:r>
      <w:r>
        <w:t xml:space="preserve">).</w:t>
      </w:r>
    </w:p>
    <w:bookmarkEnd w:id="23"/>
    <w:bookmarkStart w:id="27" w:name="settings-common-to-every-role"/>
    <w:p>
      <w:pPr>
        <w:pStyle w:val="Heading2"/>
      </w:pPr>
      <w:r>
        <w:t xml:space="preserve">Settings common to every role</w:t>
      </w:r>
    </w:p>
    <w:p>
      <w:pPr>
        <w:pStyle w:val="FirstParagraph"/>
      </w:pPr>
      <w:r>
        <w:t xml:space="preserve">These apply to every role in the tables below, on the</w:t>
      </w:r>
      <w:r>
        <w:t xml:space="preserve"> </w:t>
      </w:r>
      <w:r>
        <w:rPr>
          <w:b/>
          <w:bCs/>
        </w:rPr>
        <w:t xml:space="preserve">Assignment</w:t>
      </w:r>
      <w:r>
        <w:t xml:space="preserve"> </w:t>
      </w:r>
      <w:r>
        <w:t xml:space="preserve">tab and in the matching Graph rules.</w:t>
      </w:r>
      <w:r>
        <w:rPr>
          <w:rStyle w:val="FootnoteReference"/>
        </w:rPr>
        <w:footnoteReference w:id="24"/>
      </w:r>
      <w:r>
        <w:rPr>
          <w:rStyle w:val="FootnoteReference"/>
        </w:rPr>
        <w:footnoteReference w:id="25"/>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Setting</w:t>
            </w:r>
          </w:p>
        </w:tc>
        <w:tc>
          <w:tcPr/>
          <w:p>
            <w:pPr>
              <w:pStyle w:val="Compact"/>
            </w:pPr>
            <w:r>
              <w:t xml:space="preserve">Value</w:t>
            </w:r>
          </w:p>
        </w:tc>
        <w:tc>
          <w:tcPr/>
          <w:p>
            <w:pPr>
              <w:pStyle w:val="Compact"/>
            </w:pPr>
            <w:r>
              <w:t xml:space="preserve">Graph rule</w:t>
            </w:r>
          </w:p>
        </w:tc>
      </w:tr>
      <w:tr>
        <w:tc>
          <w:tcPr/>
          <w:p>
            <w:pPr>
              <w:pStyle w:val="Compact"/>
            </w:pPr>
            <w:r>
              <w:t xml:space="preserve">Allow permanent eligible assignment</w:t>
            </w:r>
          </w:p>
        </w:tc>
        <w:tc>
          <w:tcPr/>
          <w:p>
            <w:pPr>
              <w:pStyle w:val="Compact"/>
            </w:pPr>
            <w:r>
              <w:t xml:space="preserve">No; expiry by tier (below)</w:t>
            </w:r>
          </w:p>
        </w:tc>
        <w:tc>
          <w:tcPr/>
          <w:p>
            <w:pPr>
              <w:pStyle w:val="Compact"/>
            </w:pPr>
            <w:r>
              <w:rPr>
                <w:rStyle w:val="VerbatimChar"/>
              </w:rPr>
              <w:t xml:space="preserve">Expiration_Admin_Eligibility</w:t>
            </w:r>
          </w:p>
        </w:tc>
      </w:tr>
      <w:tr>
        <w:tc>
          <w:tcPr/>
          <w:p>
            <w:pPr>
              <w:pStyle w:val="Compact"/>
            </w:pPr>
            <w:r>
              <w:t xml:space="preserve">Allow permanent active assignment</w:t>
            </w:r>
          </w:p>
        </w:tc>
        <w:tc>
          <w:tcPr/>
          <w:p>
            <w:pPr>
              <w:pStyle w:val="Compact"/>
            </w:pPr>
            <w:r>
              <w:t xml:space="preserve">No, except Global Administrator for the emergency access accounts</w:t>
            </w:r>
          </w:p>
        </w:tc>
        <w:tc>
          <w:tcPr/>
          <w:p>
            <w:pPr>
              <w:pStyle w:val="Compact"/>
            </w:pPr>
            <w:r>
              <w:rPr>
                <w:rStyle w:val="VerbatimChar"/>
              </w:rPr>
              <w:t xml:space="preserve">Expiration_Admin_Assignment</w:t>
            </w:r>
          </w:p>
        </w:tc>
      </w:tr>
      <w:tr>
        <w:tc>
          <w:tcPr/>
          <w:p>
            <w:pPr>
              <w:pStyle w:val="Compact"/>
            </w:pPr>
            <w:r>
              <w:t xml:space="preserve">Expire active assignment after</w:t>
            </w:r>
          </w:p>
        </w:tc>
        <w:tc>
          <w:tcPr/>
          <w:p>
            <w:pPr>
              <w:pStyle w:val="Compact"/>
            </w:pPr>
            <w:r>
              <w:t xml:space="preserve">The shortest period the documented exception needs; reviewed with the exception</w:t>
            </w:r>
          </w:p>
        </w:tc>
        <w:tc>
          <w:tcPr/>
          <w:p>
            <w:pPr>
              <w:pStyle w:val="Compact"/>
            </w:pPr>
            <w:r>
              <w:rPr>
                <w:rStyle w:val="VerbatimChar"/>
              </w:rPr>
              <w:t xml:space="preserve">Expiration_Admin_Assignment</w:t>
            </w:r>
          </w:p>
        </w:tc>
      </w:tr>
      <w:tr>
        <w:tc>
          <w:tcPr/>
          <w:p>
            <w:pPr>
              <w:pStyle w:val="Compact"/>
            </w:pPr>
            <w:r>
              <w:t xml:space="preserve">Require MFA on active assignment</w:t>
            </w:r>
          </w:p>
        </w:tc>
        <w:tc>
          <w:tcPr/>
          <w:p>
            <w:pPr>
              <w:pStyle w:val="Compact"/>
            </w:pPr>
            <w:r>
              <w:t xml:space="preserve">Yes</w:t>
            </w:r>
          </w:p>
        </w:tc>
        <w:tc>
          <w:tcPr/>
          <w:p>
            <w:pPr>
              <w:pStyle w:val="Compact"/>
            </w:pPr>
            <w:r>
              <w:rPr>
                <w:rStyle w:val="VerbatimChar"/>
              </w:rPr>
              <w:t xml:space="preserve">Enablement_Admin_Assignment</w:t>
            </w:r>
          </w:p>
        </w:tc>
      </w:tr>
      <w:tr>
        <w:tc>
          <w:tcPr/>
          <w:p>
            <w:pPr>
              <w:pStyle w:val="Compact"/>
            </w:pPr>
            <w:r>
              <w:t xml:space="preserve">Require justification on active assignment</w:t>
            </w:r>
          </w:p>
        </w:tc>
        <w:tc>
          <w:tcPr/>
          <w:p>
            <w:pPr>
              <w:pStyle w:val="Compact"/>
            </w:pPr>
            <w:r>
              <w:t xml:space="preserve">Yes</w:t>
            </w:r>
          </w:p>
        </w:tc>
        <w:tc>
          <w:tcPr/>
          <w:p>
            <w:pPr>
              <w:pStyle w:val="Compact"/>
            </w:pPr>
            <w:r>
              <w:rPr>
                <w:rStyle w:val="VerbatimChar"/>
              </w:rPr>
              <w:t xml:space="preserve">Enablement_Admin_Assignment</w:t>
            </w:r>
          </w:p>
        </w:tc>
      </w:tr>
      <w:tr>
        <w:tc>
          <w:tcPr/>
          <w:p>
            <w:pPr>
              <w:pStyle w:val="Compact"/>
            </w:pPr>
            <w:r>
              <w:t xml:space="preserve">On activation, require</w:t>
            </w:r>
          </w:p>
        </w:tc>
        <w:tc>
          <w:tcPr/>
          <w:p>
            <w:pPr>
              <w:pStyle w:val="Compact"/>
            </w:pPr>
            <w:r>
              <w:t xml:space="preserve">Authentication context</w:t>
            </w:r>
            <w:r>
              <w:t xml:space="preserve"> </w:t>
            </w:r>
            <w:r>
              <w:rPr>
                <w:rStyle w:val="VerbatimChar"/>
              </w:rPr>
              <w:t xml:space="preserve">c1</w:t>
            </w:r>
          </w:p>
        </w:tc>
        <w:tc>
          <w:tcPr/>
          <w:p>
            <w:pPr>
              <w:pStyle w:val="Compact"/>
            </w:pPr>
            <w:r>
              <w:rPr>
                <w:rStyle w:val="VerbatimChar"/>
              </w:rPr>
              <w:t xml:space="preserve">AuthenticationContext_EndUser_Assignment</w:t>
            </w:r>
          </w:p>
        </w:tc>
      </w:tr>
      <w:tr>
        <w:tc>
          <w:tcPr/>
          <w:p>
            <w:pPr>
              <w:pStyle w:val="Compact"/>
            </w:pPr>
            <w:r>
              <w:t xml:space="preserve">Require justification on activation</w:t>
            </w:r>
          </w:p>
        </w:tc>
        <w:tc>
          <w:tcPr/>
          <w:p>
            <w:pPr>
              <w:pStyle w:val="Compact"/>
            </w:pPr>
            <w:r>
              <w:t xml:space="preserve">Yes</w:t>
            </w:r>
          </w:p>
        </w:tc>
        <w:tc>
          <w:tcPr/>
          <w:p>
            <w:pPr>
              <w:pStyle w:val="Compact"/>
            </w:pPr>
            <w:r>
              <w:rPr>
                <w:rStyle w:val="VerbatimChar"/>
              </w:rPr>
              <w:t xml:space="preserve">Enablement_EndUser_Assignment</w:t>
            </w:r>
          </w:p>
        </w:tc>
      </w:tr>
      <w:tr>
        <w:tc>
          <w:tcPr/>
          <w:p>
            <w:pPr>
              <w:pStyle w:val="Compact"/>
            </w:pPr>
            <w:r>
              <w:t xml:space="preserve">Approval stage timeout</w:t>
            </w:r>
          </w:p>
        </w:tc>
        <w:tc>
          <w:tcPr/>
          <w:p>
            <w:pPr>
              <w:pStyle w:val="Compact"/>
            </w:pPr>
            <w:r>
              <w:t xml:space="preserve">1 day (the fixed 24-hour window)</w:t>
            </w:r>
          </w:p>
        </w:tc>
        <w:tc>
          <w:tcPr/>
          <w:p>
            <w:pPr>
              <w:pStyle w:val="Compact"/>
            </w:pPr>
            <w:r>
              <w:rPr>
                <w:rStyle w:val="VerbatimChar"/>
              </w:rPr>
              <w:t xml:space="preserve">Approval_EndUser_Assignment</w:t>
            </w:r>
          </w:p>
        </w:tc>
      </w:tr>
    </w:tbl>
    <w:bookmarkEnd w:id="27"/>
    <w:bookmarkStart w:id="30" w:name="tier-0-control-plane"/>
    <w:p>
      <w:pPr>
        <w:pStyle w:val="Heading2"/>
      </w:pPr>
      <w:r>
        <w:t xml:space="preserve">Tier 0 — control plane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Role</w:t>
            </w:r>
          </w:p>
        </w:tc>
        <w:tc>
          <w:tcPr/>
          <w:p>
            <w:pPr>
              <w:pStyle w:val="Compact"/>
            </w:pPr>
            <w:r>
              <w:t xml:space="preserve">Max activation</w:t>
            </w:r>
          </w:p>
        </w:tc>
        <w:tc>
          <w:tcPr/>
          <w:p>
            <w:pPr>
              <w:pStyle w:val="Compact"/>
            </w:pPr>
            <w:r>
              <w:t xml:space="preserve">Approval and approvers</w:t>
            </w:r>
          </w:p>
        </w:tc>
        <w:tc>
          <w:tcPr/>
          <w:p>
            <w:pPr>
              <w:pStyle w:val="Compact"/>
            </w:pPr>
            <w:r>
              <w:t xml:space="preserve">Ticket</w:t>
            </w:r>
          </w:p>
        </w:tc>
        <w:tc>
          <w:tcPr/>
          <w:p>
            <w:pPr>
              <w:pStyle w:val="Compact"/>
            </w:pPr>
            <w:r>
              <w:t xml:space="preserve">Eligibility expiry</w:t>
            </w:r>
          </w:p>
        </w:tc>
        <w:tc>
          <w:tcPr/>
          <w:p>
            <w:pPr>
              <w:pStyle w:val="Compact"/>
            </w:pPr>
            <w:r>
              <w:t xml:space="preserve">Eligible to</w:t>
            </w:r>
          </w:p>
        </w:tc>
      </w:tr>
      <w:tr>
        <w:tc>
          <w:tcPr/>
          <w:p>
            <w:pPr>
              <w:pStyle w:val="Compact"/>
            </w:pPr>
            <w:r>
              <w:t xml:space="preserve">Global Administrator</w:t>
            </w:r>
          </w:p>
        </w:tc>
        <w:tc>
          <w:tcPr/>
          <w:p>
            <w:pPr>
              <w:pStyle w:val="Compact"/>
            </w:pPr>
            <w:r>
              <w:t xml:space="preserve">4 hours</w:t>
            </w:r>
          </w:p>
        </w:tc>
        <w:tc>
          <w:tcPr/>
          <w:p>
            <w:pPr>
              <w:pStyle w:val="Compact"/>
            </w:pPr>
            <w:r>
              <w:t xml:space="preserve">Required:</w:t>
            </w:r>
            <w:r>
              <w:t xml:space="preserve"> </w:t>
            </w:r>
            <w:r>
              <w:rPr>
                <w:rStyle w:val="VerbatimChar"/>
              </w:rPr>
              <w:t xml:space="preserve">PIM-Approvers-T0</w:t>
            </w:r>
          </w:p>
        </w:tc>
        <w:tc>
          <w:tcPr/>
          <w:p>
            <w:pPr>
              <w:pStyle w:val="Compact"/>
            </w:pPr>
            <w:r>
              <w:t xml:space="preserve">Required</w:t>
            </w:r>
          </w:p>
        </w:tc>
        <w:tc>
          <w:tcPr/>
          <w:p>
            <w:pPr>
              <w:pStyle w:val="Compact"/>
            </w:pPr>
            <w:r>
              <w:t xml:space="preserve">90 days</w:t>
            </w:r>
          </w:p>
        </w:tc>
        <w:tc>
          <w:tcPr/>
          <w:p>
            <w:pPr>
              <w:pStyle w:val="Compact"/>
            </w:pPr>
            <w:r>
              <w:rPr>
                <w:rStyle w:val="VerbatimChar"/>
              </w:rPr>
              <w:t xml:space="preserve">PRV-T0-GlobalAdmin</w:t>
            </w:r>
          </w:p>
        </w:tc>
      </w:tr>
      <w:tr>
        <w:tc>
          <w:tcPr/>
          <w:p>
            <w:pPr>
              <w:pStyle w:val="Compact"/>
            </w:pPr>
            <w:r>
              <w:t xml:space="preserve">Privileged Role Administrator</w:t>
            </w:r>
          </w:p>
        </w:tc>
        <w:tc>
          <w:tcPr/>
          <w:p>
            <w:pPr>
              <w:pStyle w:val="Compact"/>
            </w:pPr>
            <w:r>
              <w:t xml:space="preserve">4 hours</w:t>
            </w:r>
          </w:p>
        </w:tc>
        <w:tc>
          <w:tcPr/>
          <w:p>
            <w:pPr>
              <w:pStyle w:val="Compact"/>
            </w:pPr>
            <w:r>
              <w:t xml:space="preserve">Required:</w:t>
            </w:r>
            <w:r>
              <w:t xml:space="preserve"> </w:t>
            </w:r>
            <w:r>
              <w:rPr>
                <w:rStyle w:val="VerbatimChar"/>
              </w:rPr>
              <w:t xml:space="preserve">PIM-Approvers-T0</w:t>
            </w:r>
          </w:p>
        </w:tc>
        <w:tc>
          <w:tcPr/>
          <w:p>
            <w:pPr>
              <w:pStyle w:val="Compact"/>
            </w:pPr>
            <w:r>
              <w:t xml:space="preserve">Required</w:t>
            </w:r>
          </w:p>
        </w:tc>
        <w:tc>
          <w:tcPr/>
          <w:p>
            <w:pPr>
              <w:pStyle w:val="Compact"/>
            </w:pPr>
            <w:r>
              <w:t xml:space="preserve">90 days</w:t>
            </w:r>
          </w:p>
        </w:tc>
        <w:tc>
          <w:tcPr/>
          <w:p>
            <w:pPr>
              <w:pStyle w:val="Compact"/>
            </w:pPr>
            <w:r>
              <w:rPr>
                <w:rStyle w:val="VerbatimChar"/>
              </w:rPr>
              <w:t xml:space="preserve">PRV-T0-PrivRoleAdmin</w:t>
            </w:r>
          </w:p>
        </w:tc>
      </w:tr>
      <w:tr>
        <w:tc>
          <w:tcPr/>
          <w:p>
            <w:pPr>
              <w:pStyle w:val="Compact"/>
            </w:pPr>
            <w:r>
              <w:t xml:space="preserve">Privileged Authentication Administrator</w:t>
            </w:r>
          </w:p>
        </w:tc>
        <w:tc>
          <w:tcPr/>
          <w:p>
            <w:pPr>
              <w:pStyle w:val="Compact"/>
            </w:pPr>
            <w:r>
              <w:t xml:space="preserve">4 hours</w:t>
            </w:r>
          </w:p>
        </w:tc>
        <w:tc>
          <w:tcPr/>
          <w:p>
            <w:pPr>
              <w:pStyle w:val="Compact"/>
            </w:pPr>
            <w:r>
              <w:t xml:space="preserve">Required:</w:t>
            </w:r>
            <w:r>
              <w:t xml:space="preserve"> </w:t>
            </w:r>
            <w:r>
              <w:rPr>
                <w:rStyle w:val="VerbatimChar"/>
              </w:rPr>
              <w:t xml:space="preserve">PIM-Approvers-T0</w:t>
            </w:r>
          </w:p>
        </w:tc>
        <w:tc>
          <w:tcPr/>
          <w:p>
            <w:pPr>
              <w:pStyle w:val="Compact"/>
            </w:pPr>
            <w:r>
              <w:t xml:space="preserve">Required</w:t>
            </w:r>
          </w:p>
        </w:tc>
        <w:tc>
          <w:tcPr/>
          <w:p>
            <w:pPr>
              <w:pStyle w:val="Compact"/>
            </w:pPr>
            <w:r>
              <w:t xml:space="preserve">90 days</w:t>
            </w:r>
          </w:p>
        </w:tc>
        <w:tc>
          <w:tcPr/>
          <w:p>
            <w:pPr>
              <w:pStyle w:val="Compact"/>
            </w:pPr>
            <w:r>
              <w:rPr>
                <w:rStyle w:val="VerbatimChar"/>
              </w:rPr>
              <w:t xml:space="preserve">PRV-T0-PrivAuthAdmin</w:t>
            </w:r>
          </w:p>
        </w:tc>
      </w:tr>
      <w:tr>
        <w:tc>
          <w:tcPr/>
          <w:p>
            <w:pPr>
              <w:pStyle w:val="Compact"/>
            </w:pPr>
            <w:r>
              <w:t xml:space="preserve">Security Administrator</w:t>
            </w:r>
          </w:p>
        </w:tc>
        <w:tc>
          <w:tcPr/>
          <w:p>
            <w:pPr>
              <w:pStyle w:val="Compact"/>
            </w:pPr>
            <w:r>
              <w:t xml:space="preserve">4 hours</w:t>
            </w:r>
          </w:p>
        </w:tc>
        <w:tc>
          <w:tcPr/>
          <w:p>
            <w:pPr>
              <w:pStyle w:val="Compact"/>
            </w:pPr>
            <w:r>
              <w:t xml:space="preserve">Required:</w:t>
            </w:r>
            <w:r>
              <w:t xml:space="preserve"> </w:t>
            </w:r>
            <w:r>
              <w:rPr>
                <w:rStyle w:val="VerbatimChar"/>
              </w:rPr>
              <w:t xml:space="preserve">PIM-Approvers-T0</w:t>
            </w:r>
          </w:p>
        </w:tc>
        <w:tc>
          <w:tcPr/>
          <w:p>
            <w:pPr>
              <w:pStyle w:val="Compact"/>
            </w:pPr>
            <w:r>
              <w:t xml:space="preserve">Required</w:t>
            </w:r>
          </w:p>
        </w:tc>
        <w:tc>
          <w:tcPr/>
          <w:p>
            <w:pPr>
              <w:pStyle w:val="Compact"/>
            </w:pPr>
            <w:r>
              <w:t xml:space="preserve">90 days</w:t>
            </w:r>
          </w:p>
        </w:tc>
        <w:tc>
          <w:tcPr/>
          <w:p>
            <w:pPr>
              <w:pStyle w:val="Compact"/>
            </w:pPr>
            <w:r>
              <w:rPr>
                <w:rStyle w:val="VerbatimChar"/>
              </w:rPr>
              <w:t xml:space="preserve">PRV-T0-SecurityAdmin</w:t>
            </w:r>
          </w:p>
        </w:tc>
      </w:tr>
      <w:tr>
        <w:tc>
          <w:tcPr/>
          <w:p>
            <w:pPr>
              <w:pStyle w:val="Compact"/>
            </w:pPr>
            <w:r>
              <w:t xml:space="preserve">Conditional Access Administrator</w:t>
            </w:r>
          </w:p>
        </w:tc>
        <w:tc>
          <w:tcPr/>
          <w:p>
            <w:pPr>
              <w:pStyle w:val="Compact"/>
            </w:pPr>
            <w:r>
              <w:t xml:space="preserve">4 hours</w:t>
            </w:r>
          </w:p>
        </w:tc>
        <w:tc>
          <w:tcPr/>
          <w:p>
            <w:pPr>
              <w:pStyle w:val="Compact"/>
            </w:pPr>
            <w:r>
              <w:t xml:space="preserve">Required:</w:t>
            </w:r>
            <w:r>
              <w:t xml:space="preserve"> </w:t>
            </w:r>
            <w:r>
              <w:rPr>
                <w:rStyle w:val="VerbatimChar"/>
              </w:rPr>
              <w:t xml:space="preserve">PIM-Approvers-T0</w:t>
            </w:r>
          </w:p>
        </w:tc>
        <w:tc>
          <w:tcPr/>
          <w:p>
            <w:pPr>
              <w:pStyle w:val="Compact"/>
            </w:pPr>
            <w:r>
              <w:t xml:space="preserve">Required</w:t>
            </w:r>
          </w:p>
        </w:tc>
        <w:tc>
          <w:tcPr/>
          <w:p>
            <w:pPr>
              <w:pStyle w:val="Compact"/>
            </w:pPr>
            <w:r>
              <w:t xml:space="preserve">90 days</w:t>
            </w:r>
          </w:p>
        </w:tc>
        <w:tc>
          <w:tcPr/>
          <w:p>
            <w:pPr>
              <w:pStyle w:val="Compact"/>
            </w:pPr>
            <w:r>
              <w:rPr>
                <w:rStyle w:val="VerbatimChar"/>
              </w:rPr>
              <w:t xml:space="preserve">PRV-T0-CAAdmin</w:t>
            </w:r>
          </w:p>
        </w:tc>
      </w:tr>
    </w:tbl>
    <w:p>
      <w:pPr>
        <w:pStyle w:val="BodyText"/>
      </w:pPr>
      <w:r>
        <w:t xml:space="preserve">Microsoft’s guidance is fewer than five Global Administrators;</w:t>
      </w:r>
      <w:r>
        <w:rPr>
          <w:rStyle w:val="FootnoteReference"/>
        </w:rPr>
        <w:footnoteReference w:id="28"/>
      </w:r>
      <w:r>
        <w:t xml:space="preserve"> </w:t>
      </w:r>
      <w:r>
        <w:t xml:space="preserve">the eligible population of</w:t>
      </w:r>
      <w:r>
        <w:t xml:space="preserve"> </w:t>
      </w:r>
      <w:r>
        <w:rPr>
          <w:rStyle w:val="VerbatimChar"/>
        </w:rPr>
        <w:t xml:space="preserve">PRV-T0-GlobalAdmin</w:t>
      </w:r>
      <w:r>
        <w:t xml:space="preserve">, plus the two emergency accounts, stays within that.</w:t>
      </w:r>
    </w:p>
    <w:bookmarkEnd w:id="30"/>
    <w:bookmarkStart w:id="35" w:name="tier-1-management-plane"/>
    <w:p>
      <w:pPr>
        <w:pStyle w:val="Heading2"/>
      </w:pPr>
      <w:r>
        <w:t xml:space="preserve">Tier 1 — management plane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Role</w:t>
            </w:r>
          </w:p>
        </w:tc>
        <w:tc>
          <w:tcPr/>
          <w:p>
            <w:pPr>
              <w:pStyle w:val="Compact"/>
            </w:pPr>
            <w:r>
              <w:t xml:space="preserve">Max activation</w:t>
            </w:r>
          </w:p>
        </w:tc>
        <w:tc>
          <w:tcPr/>
          <w:p>
            <w:pPr>
              <w:pStyle w:val="Compact"/>
            </w:pPr>
            <w:r>
              <w:t xml:space="preserve">Approval and approvers</w:t>
            </w:r>
          </w:p>
        </w:tc>
        <w:tc>
          <w:tcPr/>
          <w:p>
            <w:pPr>
              <w:pStyle w:val="Compact"/>
            </w:pPr>
            <w:r>
              <w:t xml:space="preserve">Ticket</w:t>
            </w:r>
          </w:p>
        </w:tc>
        <w:tc>
          <w:tcPr/>
          <w:p>
            <w:pPr>
              <w:pStyle w:val="Compact"/>
            </w:pPr>
            <w:r>
              <w:t xml:space="preserve">Eligibility expiry</w:t>
            </w:r>
          </w:p>
        </w:tc>
        <w:tc>
          <w:tcPr/>
          <w:p>
            <w:pPr>
              <w:pStyle w:val="Compact"/>
            </w:pPr>
            <w:r>
              <w:t xml:space="preserve">Eligible to</w:t>
            </w:r>
          </w:p>
        </w:tc>
      </w:tr>
      <w:tr>
        <w:tc>
          <w:tcPr/>
          <w:p>
            <w:pPr>
              <w:pStyle w:val="Compact"/>
            </w:pPr>
            <w:r>
              <w:t xml:space="preserve">Exchange Administrator</w:t>
            </w:r>
          </w:p>
        </w:tc>
        <w:tc>
          <w:tcPr/>
          <w:p>
            <w:pPr>
              <w:pStyle w:val="Compact"/>
            </w:pPr>
            <w:r>
              <w:t xml:space="preserve">8 hours</w:t>
            </w:r>
          </w:p>
        </w:tc>
        <w:tc>
          <w:tcPr/>
          <w:p>
            <w:pPr>
              <w:pStyle w:val="Compact"/>
            </w:pPr>
            <w:r>
              <w:t xml:space="preserve">Required:</w:t>
            </w:r>
            <w:r>
              <w:t xml:space="preserve"> </w:t>
            </w:r>
            <w:r>
              <w:rPr>
                <w:rStyle w:val="VerbatimChar"/>
              </w:rPr>
              <w:t xml:space="preserve">PIM-Approvers-T1</w:t>
            </w:r>
          </w:p>
        </w:tc>
        <w:tc>
          <w:tcPr/>
          <w:p>
            <w:pPr>
              <w:pStyle w:val="Compact"/>
            </w:pPr>
            <w:r>
              <w:t xml:space="preserve">Required</w:t>
            </w:r>
          </w:p>
        </w:tc>
        <w:tc>
          <w:tcPr/>
          <w:p>
            <w:pPr>
              <w:pStyle w:val="Compact"/>
            </w:pPr>
            <w:r>
              <w:t xml:space="preserve">180 days</w:t>
            </w:r>
          </w:p>
        </w:tc>
        <w:tc>
          <w:tcPr/>
          <w:p>
            <w:pPr>
              <w:pStyle w:val="Compact"/>
            </w:pPr>
            <w:r>
              <w:rPr>
                <w:rStyle w:val="VerbatimChar"/>
              </w:rPr>
              <w:t xml:space="preserve">PRV-T1-ExchangeAdmin</w:t>
            </w:r>
          </w:p>
        </w:tc>
      </w:tr>
      <w:tr>
        <w:tc>
          <w:tcPr/>
          <w:p>
            <w:pPr>
              <w:pStyle w:val="Compact"/>
            </w:pPr>
            <w:r>
              <w:t xml:space="preserve">SharePoint Administrator</w:t>
            </w:r>
          </w:p>
        </w:tc>
        <w:tc>
          <w:tcPr/>
          <w:p>
            <w:pPr>
              <w:pStyle w:val="Compact"/>
            </w:pPr>
            <w:r>
              <w:t xml:space="preserve">8 hours</w:t>
            </w:r>
          </w:p>
        </w:tc>
        <w:tc>
          <w:tcPr/>
          <w:p>
            <w:pPr>
              <w:pStyle w:val="Compact"/>
            </w:pPr>
            <w:r>
              <w:t xml:space="preserve">Required:</w:t>
            </w:r>
            <w:r>
              <w:t xml:space="preserve"> </w:t>
            </w:r>
            <w:r>
              <w:rPr>
                <w:rStyle w:val="VerbatimChar"/>
              </w:rPr>
              <w:t xml:space="preserve">PIM-Approvers-T1</w:t>
            </w:r>
          </w:p>
        </w:tc>
        <w:tc>
          <w:tcPr/>
          <w:p>
            <w:pPr>
              <w:pStyle w:val="Compact"/>
            </w:pPr>
            <w:r>
              <w:t xml:space="preserve">Required</w:t>
            </w:r>
          </w:p>
        </w:tc>
        <w:tc>
          <w:tcPr/>
          <w:p>
            <w:pPr>
              <w:pStyle w:val="Compact"/>
            </w:pPr>
            <w:r>
              <w:t xml:space="preserve">180 days</w:t>
            </w:r>
          </w:p>
        </w:tc>
        <w:tc>
          <w:tcPr/>
          <w:p>
            <w:pPr>
              <w:pStyle w:val="Compact"/>
            </w:pPr>
            <w:r>
              <w:rPr>
                <w:rStyle w:val="VerbatimChar"/>
              </w:rPr>
              <w:t xml:space="preserve">PRV-T1-SharePointAdmin</w:t>
            </w:r>
          </w:p>
        </w:tc>
      </w:tr>
      <w:tr>
        <w:tc>
          <w:tcPr/>
          <w:p>
            <w:pPr>
              <w:pStyle w:val="Compact"/>
            </w:pPr>
            <w:r>
              <w:t xml:space="preserve">Teams Administrator</w:t>
            </w:r>
          </w:p>
        </w:tc>
        <w:tc>
          <w:tcPr/>
          <w:p>
            <w:pPr>
              <w:pStyle w:val="Compact"/>
            </w:pPr>
            <w:r>
              <w:t xml:space="preserve">8 hours</w:t>
            </w:r>
          </w:p>
        </w:tc>
        <w:tc>
          <w:tcPr/>
          <w:p>
            <w:pPr>
              <w:pStyle w:val="Compact"/>
            </w:pPr>
            <w:r>
              <w:t xml:space="preserve">Required:</w:t>
            </w:r>
            <w:r>
              <w:t xml:space="preserve"> </w:t>
            </w:r>
            <w:r>
              <w:rPr>
                <w:rStyle w:val="VerbatimChar"/>
              </w:rPr>
              <w:t xml:space="preserve">PIM-Approvers-T1</w:t>
            </w:r>
          </w:p>
        </w:tc>
        <w:tc>
          <w:tcPr/>
          <w:p>
            <w:pPr>
              <w:pStyle w:val="Compact"/>
            </w:pPr>
            <w:r>
              <w:t xml:space="preserve">Required</w:t>
            </w:r>
          </w:p>
        </w:tc>
        <w:tc>
          <w:tcPr/>
          <w:p>
            <w:pPr>
              <w:pStyle w:val="Compact"/>
            </w:pPr>
            <w:r>
              <w:t xml:space="preserve">180 days</w:t>
            </w:r>
          </w:p>
        </w:tc>
        <w:tc>
          <w:tcPr/>
          <w:p>
            <w:pPr>
              <w:pStyle w:val="Compact"/>
            </w:pPr>
            <w:r>
              <w:rPr>
                <w:rStyle w:val="VerbatimChar"/>
              </w:rPr>
              <w:t xml:space="preserve">PRV-T1-TeamsAdmin</w:t>
            </w:r>
          </w:p>
        </w:tc>
      </w:tr>
      <w:tr>
        <w:tc>
          <w:tcPr/>
          <w:p>
            <w:pPr>
              <w:pStyle w:val="Compact"/>
            </w:pPr>
            <w:r>
              <w:t xml:space="preserve">Intune Administrator</w:t>
            </w:r>
          </w:p>
        </w:tc>
        <w:tc>
          <w:tcPr/>
          <w:p>
            <w:pPr>
              <w:pStyle w:val="Compact"/>
            </w:pPr>
            <w:r>
              <w:t xml:space="preserve">8 hours</w:t>
            </w:r>
          </w:p>
        </w:tc>
        <w:tc>
          <w:tcPr/>
          <w:p>
            <w:pPr>
              <w:pStyle w:val="Compact"/>
            </w:pPr>
            <w:r>
              <w:t xml:space="preserve">Required:</w:t>
            </w:r>
            <w:r>
              <w:t xml:space="preserve"> </w:t>
            </w:r>
            <w:r>
              <w:rPr>
                <w:rStyle w:val="VerbatimChar"/>
              </w:rPr>
              <w:t xml:space="preserve">PIM-Approvers-T1</w:t>
            </w:r>
          </w:p>
        </w:tc>
        <w:tc>
          <w:tcPr/>
          <w:p>
            <w:pPr>
              <w:pStyle w:val="Compact"/>
            </w:pPr>
            <w:r>
              <w:t xml:space="preserve">Required</w:t>
            </w:r>
          </w:p>
        </w:tc>
        <w:tc>
          <w:tcPr/>
          <w:p>
            <w:pPr>
              <w:pStyle w:val="Compact"/>
            </w:pPr>
            <w:r>
              <w:t xml:space="preserve">180 days</w:t>
            </w:r>
          </w:p>
        </w:tc>
        <w:tc>
          <w:tcPr/>
          <w:p>
            <w:pPr>
              <w:pStyle w:val="Compact"/>
            </w:pPr>
            <w:r>
              <w:rPr>
                <w:rStyle w:val="VerbatimChar"/>
              </w:rPr>
              <w:t xml:space="preserve">PRV-T1-IntuneAdmin</w:t>
            </w:r>
          </w:p>
        </w:tc>
      </w:tr>
      <w:tr>
        <w:tc>
          <w:tcPr/>
          <w:p>
            <w:pPr>
              <w:pStyle w:val="Compact"/>
            </w:pPr>
            <w:r>
              <w:t xml:space="preserve">Application Administrator</w:t>
            </w:r>
          </w:p>
        </w:tc>
        <w:tc>
          <w:tcPr/>
          <w:p>
            <w:pPr>
              <w:pStyle w:val="Compact"/>
            </w:pPr>
            <w:r>
              <w:t xml:space="preserve">8 hours</w:t>
            </w:r>
          </w:p>
        </w:tc>
        <w:tc>
          <w:tcPr/>
          <w:p>
            <w:pPr>
              <w:pStyle w:val="Compact"/>
            </w:pPr>
            <w:r>
              <w:t xml:space="preserve">Required:</w:t>
            </w:r>
            <w:r>
              <w:t xml:space="preserve"> </w:t>
            </w:r>
            <w:r>
              <w:rPr>
                <w:rStyle w:val="VerbatimChar"/>
              </w:rPr>
              <w:t xml:space="preserve">PIM-Approvers-T1</w:t>
            </w:r>
          </w:p>
        </w:tc>
        <w:tc>
          <w:tcPr/>
          <w:p>
            <w:pPr>
              <w:pStyle w:val="Compact"/>
            </w:pPr>
            <w:r>
              <w:t xml:space="preserve">Required</w:t>
            </w:r>
          </w:p>
        </w:tc>
        <w:tc>
          <w:tcPr/>
          <w:p>
            <w:pPr>
              <w:pStyle w:val="Compact"/>
            </w:pPr>
            <w:r>
              <w:t xml:space="preserve">180 days</w:t>
            </w:r>
          </w:p>
        </w:tc>
        <w:tc>
          <w:tcPr/>
          <w:p>
            <w:pPr>
              <w:pStyle w:val="Compact"/>
            </w:pPr>
            <w:r>
              <w:rPr>
                <w:rStyle w:val="VerbatimChar"/>
              </w:rPr>
              <w:t xml:space="preserve">PRV-T1-AppAdmin</w:t>
            </w:r>
          </w:p>
        </w:tc>
      </w:tr>
      <w:tr>
        <w:tc>
          <w:tcPr/>
          <w:p>
            <w:pPr>
              <w:pStyle w:val="Compact"/>
            </w:pPr>
            <w:r>
              <w:t xml:space="preserve">Cloud Application Administrator</w:t>
            </w:r>
          </w:p>
        </w:tc>
        <w:tc>
          <w:tcPr/>
          <w:p>
            <w:pPr>
              <w:pStyle w:val="Compact"/>
            </w:pPr>
            <w:r>
              <w:t xml:space="preserve">8 hours</w:t>
            </w:r>
          </w:p>
        </w:tc>
        <w:tc>
          <w:tcPr/>
          <w:p>
            <w:pPr>
              <w:pStyle w:val="Compact"/>
            </w:pPr>
            <w:r>
              <w:t xml:space="preserve">Required:</w:t>
            </w:r>
            <w:r>
              <w:t xml:space="preserve"> </w:t>
            </w:r>
            <w:r>
              <w:rPr>
                <w:rStyle w:val="VerbatimChar"/>
              </w:rPr>
              <w:t xml:space="preserve">PIM-Approvers-T1</w:t>
            </w:r>
          </w:p>
        </w:tc>
        <w:tc>
          <w:tcPr/>
          <w:p>
            <w:pPr>
              <w:pStyle w:val="Compact"/>
            </w:pPr>
            <w:r>
              <w:t xml:space="preserve">Required</w:t>
            </w:r>
          </w:p>
        </w:tc>
        <w:tc>
          <w:tcPr/>
          <w:p>
            <w:pPr>
              <w:pStyle w:val="Compact"/>
            </w:pPr>
            <w:r>
              <w:t xml:space="preserve">180 days</w:t>
            </w:r>
          </w:p>
        </w:tc>
        <w:tc>
          <w:tcPr/>
          <w:p>
            <w:pPr>
              <w:pStyle w:val="Compact"/>
            </w:pPr>
            <w:r>
              <w:rPr>
                <w:rStyle w:val="VerbatimChar"/>
              </w:rPr>
              <w:t xml:space="preserve">PRV-T1-CloudAppAdmin</w:t>
            </w:r>
          </w:p>
        </w:tc>
      </w:tr>
      <w:tr>
        <w:tc>
          <w:tcPr/>
          <w:p>
            <w:pPr>
              <w:pStyle w:val="Compact"/>
            </w:pPr>
            <w:r>
              <w:t xml:space="preserve">Hybrid Identity Administrator</w:t>
            </w:r>
          </w:p>
        </w:tc>
        <w:tc>
          <w:tcPr/>
          <w:p>
            <w:pPr>
              <w:pStyle w:val="Compact"/>
            </w:pPr>
            <w:r>
              <w:t xml:space="preserve">8 hours</w:t>
            </w:r>
          </w:p>
        </w:tc>
        <w:tc>
          <w:tcPr/>
          <w:p>
            <w:pPr>
              <w:pStyle w:val="Compact"/>
            </w:pPr>
            <w:r>
              <w:t xml:space="preserve">Required:</w:t>
            </w:r>
            <w:r>
              <w:t xml:space="preserve"> </w:t>
            </w:r>
            <w:r>
              <w:rPr>
                <w:rStyle w:val="VerbatimChar"/>
              </w:rPr>
              <w:t xml:space="preserve">PIM-Approvers-T1</w:t>
            </w:r>
          </w:p>
        </w:tc>
        <w:tc>
          <w:tcPr/>
          <w:p>
            <w:pPr>
              <w:pStyle w:val="Compact"/>
            </w:pPr>
            <w:r>
              <w:t xml:space="preserve">Required</w:t>
            </w:r>
          </w:p>
        </w:tc>
        <w:tc>
          <w:tcPr/>
          <w:p>
            <w:pPr>
              <w:pStyle w:val="Compact"/>
            </w:pPr>
            <w:r>
              <w:t xml:space="preserve">180 days</w:t>
            </w:r>
          </w:p>
        </w:tc>
        <w:tc>
          <w:tcPr/>
          <w:p>
            <w:pPr>
              <w:pStyle w:val="Compact"/>
            </w:pPr>
            <w:r>
              <w:rPr>
                <w:rStyle w:val="VerbatimChar"/>
              </w:rPr>
              <w:t xml:space="preserve">PRV-T1-HybridIdentityAdmin</w:t>
            </w:r>
          </w:p>
        </w:tc>
      </w:tr>
      <w:tr>
        <w:tc>
          <w:tcPr/>
          <w:p>
            <w:pPr>
              <w:pStyle w:val="Compact"/>
            </w:pPr>
            <w:r>
              <w:t xml:space="preserve">Authentication Policy Administrator</w:t>
            </w:r>
          </w:p>
        </w:tc>
        <w:tc>
          <w:tcPr/>
          <w:p>
            <w:pPr>
              <w:pStyle w:val="Compact"/>
            </w:pPr>
            <w:r>
              <w:t xml:space="preserve">8 hours</w:t>
            </w:r>
          </w:p>
        </w:tc>
        <w:tc>
          <w:tcPr/>
          <w:p>
            <w:pPr>
              <w:pStyle w:val="Compact"/>
            </w:pPr>
            <w:r>
              <w:t xml:space="preserve">Required:</w:t>
            </w:r>
            <w:r>
              <w:t xml:space="preserve"> </w:t>
            </w:r>
            <w:r>
              <w:rPr>
                <w:rStyle w:val="VerbatimChar"/>
              </w:rPr>
              <w:t xml:space="preserve">PIM-Approvers-T1</w:t>
            </w:r>
          </w:p>
        </w:tc>
        <w:tc>
          <w:tcPr/>
          <w:p>
            <w:pPr>
              <w:pStyle w:val="Compact"/>
            </w:pPr>
            <w:r>
              <w:t xml:space="preserve">Required</w:t>
            </w:r>
          </w:p>
        </w:tc>
        <w:tc>
          <w:tcPr/>
          <w:p>
            <w:pPr>
              <w:pStyle w:val="Compact"/>
            </w:pPr>
            <w:r>
              <w:t xml:space="preserve">180 days</w:t>
            </w:r>
          </w:p>
        </w:tc>
        <w:tc>
          <w:tcPr/>
          <w:p>
            <w:pPr>
              <w:pStyle w:val="Compact"/>
            </w:pPr>
            <w:r>
              <w:rPr>
                <w:rStyle w:val="VerbatimChar"/>
              </w:rPr>
              <w:t xml:space="preserve">PRV-T1-AuthPolicyAdmin</w:t>
            </w:r>
          </w:p>
        </w:tc>
      </w:tr>
      <w:tr>
        <w:tc>
          <w:tcPr/>
          <w:p>
            <w:pPr>
              <w:pStyle w:val="Compact"/>
            </w:pPr>
            <w:r>
              <w:t xml:space="preserve">Compliance Administrator</w:t>
            </w:r>
          </w:p>
        </w:tc>
        <w:tc>
          <w:tcPr/>
          <w:p>
            <w:pPr>
              <w:pStyle w:val="Compact"/>
            </w:pPr>
            <w:r>
              <w:t xml:space="preserve">8 hours</w:t>
            </w:r>
          </w:p>
        </w:tc>
        <w:tc>
          <w:tcPr/>
          <w:p>
            <w:pPr>
              <w:pStyle w:val="Compact"/>
            </w:pPr>
            <w:r>
              <w:t xml:space="preserve">Required:</w:t>
            </w:r>
            <w:r>
              <w:t xml:space="preserve"> </w:t>
            </w:r>
            <w:r>
              <w:rPr>
                <w:rStyle w:val="VerbatimChar"/>
              </w:rPr>
              <w:t xml:space="preserve">PIM-Approvers-T1</w:t>
            </w:r>
          </w:p>
        </w:tc>
        <w:tc>
          <w:tcPr/>
          <w:p>
            <w:pPr>
              <w:pStyle w:val="Compact"/>
            </w:pPr>
            <w:r>
              <w:t xml:space="preserve">Required</w:t>
            </w:r>
          </w:p>
        </w:tc>
        <w:tc>
          <w:tcPr/>
          <w:p>
            <w:pPr>
              <w:pStyle w:val="Compact"/>
            </w:pPr>
            <w:r>
              <w:t xml:space="preserve">180 days</w:t>
            </w:r>
          </w:p>
        </w:tc>
        <w:tc>
          <w:tcPr/>
          <w:p>
            <w:pPr>
              <w:pStyle w:val="Compact"/>
            </w:pPr>
            <w:r>
              <w:rPr>
                <w:rStyle w:val="VerbatimChar"/>
              </w:rPr>
              <w:t xml:space="preserve">PRV-T1-ComplianceAdmin</w:t>
            </w:r>
          </w:p>
        </w:tc>
      </w:tr>
    </w:tbl>
    <w:p>
      <w:pPr>
        <w:pStyle w:val="BodyText"/>
      </w:pPr>
      <w:r>
        <w:t xml:space="preserve">For Exchange Administrator and SharePoint Administrator the program uses an eligible group-to-role assignment with active group members, the pattern Microsoft recommends for roles with Exchange, SharePoint or Purview permissions to avoid slow activation.</w:t>
      </w:r>
      <w:r>
        <w:rPr>
          <w:rStyle w:val="FootnoteReference"/>
        </w:rPr>
        <w:footnoteReference w:id="31"/>
      </w:r>
      <w:r>
        <w:t xml:space="preserve"> </w:t>
      </w:r>
      <w:r>
        <w:t xml:space="preserve">Some Exchange admin center areas don’t recognize a role held through a group; where an administrator needs them, assign that person’s eligibility directly to the role and record the exception.</w:t>
      </w:r>
      <w:r>
        <w:rPr>
          <w:rStyle w:val="FootnoteReference"/>
        </w:rPr>
        <w:footnoteReference w:id="33"/>
      </w:r>
    </w:p>
    <w:bookmarkEnd w:id="35"/>
    <w:bookmarkStart w:id="41" w:name="tier-2-scoped-operations"/>
    <w:p>
      <w:pPr>
        <w:pStyle w:val="Heading2"/>
      </w:pPr>
      <w:r>
        <w:t xml:space="preserve">Tier 2 — scoped operations</w:t>
      </w:r>
    </w:p>
    <w:p>
      <w:pPr>
        <w:pStyle w:val="FirstParagraph"/>
      </w:pPr>
      <w:r>
        <w:t xml:space="preserve">These roles are assigned at administrative-unit scope wherever the role supports it (</w:t>
      </w:r>
      <w:hyperlink r:id="rId36">
        <w:r>
          <w:rPr>
            <w:rStyle w:val="Hyperlink"/>
          </w:rPr>
          <w:t xml:space="preserve">Book 02, Chapter 05</w:t>
        </w:r>
      </w:hyperlink>
      <w:r>
        <w:t xml:space="preserve">). The PIM settings are per role, so every scoped assignment of a role shares them.</w:t>
      </w:r>
      <w:r>
        <w:rPr>
          <w:rStyle w:val="FootnoteReference"/>
        </w:rPr>
        <w:footnoteReference w:id="37"/>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Role</w:t>
            </w:r>
          </w:p>
        </w:tc>
        <w:tc>
          <w:tcPr/>
          <w:p>
            <w:pPr>
              <w:pStyle w:val="Compact"/>
            </w:pPr>
            <w:r>
              <w:t xml:space="preserve">Max activation</w:t>
            </w:r>
          </w:p>
        </w:tc>
        <w:tc>
          <w:tcPr/>
          <w:p>
            <w:pPr>
              <w:pStyle w:val="Compact"/>
            </w:pPr>
            <w:r>
              <w:t xml:space="preserve">Approval and approvers</w:t>
            </w:r>
          </w:p>
        </w:tc>
        <w:tc>
          <w:tcPr/>
          <w:p>
            <w:pPr>
              <w:pStyle w:val="Compact"/>
            </w:pPr>
            <w:r>
              <w:t xml:space="preserve">Ticket</w:t>
            </w:r>
          </w:p>
        </w:tc>
        <w:tc>
          <w:tcPr/>
          <w:p>
            <w:pPr>
              <w:pStyle w:val="Compact"/>
            </w:pPr>
            <w:r>
              <w:t xml:space="preserve">Eligibility expiry</w:t>
            </w:r>
          </w:p>
        </w:tc>
        <w:tc>
          <w:tcPr/>
          <w:p>
            <w:pPr>
              <w:pStyle w:val="Compact"/>
            </w:pPr>
            <w:r>
              <w:t xml:space="preserve">Eligible to</w:t>
            </w:r>
          </w:p>
        </w:tc>
      </w:tr>
      <w:tr>
        <w:tc>
          <w:tcPr/>
          <w:p>
            <w:pPr>
              <w:pStyle w:val="Compact"/>
            </w:pPr>
            <w:r>
              <w:t xml:space="preserve">User Administrator</w:t>
            </w:r>
          </w:p>
        </w:tc>
        <w:tc>
          <w:tcPr/>
          <w:p>
            <w:pPr>
              <w:pStyle w:val="Compact"/>
            </w:pPr>
            <w:r>
              <w:t xml:space="preserve">8 hours</w:t>
            </w:r>
          </w:p>
        </w:tc>
        <w:tc>
          <w:tcPr/>
          <w:p>
            <w:pPr>
              <w:pStyle w:val="Compact"/>
            </w:pPr>
            <w:r>
              <w:t xml:space="preserve">Not required; risk acceptance on file</w:t>
            </w:r>
          </w:p>
        </w:tc>
        <w:tc>
          <w:tcPr/>
          <w:p>
            <w:pPr>
              <w:pStyle w:val="Compact"/>
            </w:pPr>
            <w:r>
              <w:t xml:space="preserve">Required</w:t>
            </w:r>
          </w:p>
        </w:tc>
        <w:tc>
          <w:tcPr/>
          <w:p>
            <w:pPr>
              <w:pStyle w:val="Compact"/>
            </w:pPr>
            <w:r>
              <w:t xml:space="preserve">180 days</w:t>
            </w:r>
          </w:p>
        </w:tc>
        <w:tc>
          <w:tcPr/>
          <w:p>
            <w:pPr>
              <w:pStyle w:val="Compact"/>
            </w:pPr>
            <w:r>
              <w:rPr>
                <w:rStyle w:val="VerbatimChar"/>
              </w:rPr>
              <w:t xml:space="preserve">PRV-T2-UserAdmin-&lt;AU&gt;</w:t>
            </w:r>
          </w:p>
        </w:tc>
      </w:tr>
      <w:tr>
        <w:tc>
          <w:tcPr/>
          <w:p>
            <w:pPr>
              <w:pStyle w:val="Compact"/>
            </w:pPr>
            <w:r>
              <w:t xml:space="preserve">Groups Administrator</w:t>
            </w:r>
          </w:p>
        </w:tc>
        <w:tc>
          <w:tcPr/>
          <w:p>
            <w:pPr>
              <w:pStyle w:val="Compact"/>
            </w:pPr>
            <w:r>
              <w:t xml:space="preserve">8 hours</w:t>
            </w:r>
          </w:p>
        </w:tc>
        <w:tc>
          <w:tcPr/>
          <w:p>
            <w:pPr>
              <w:pStyle w:val="Compact"/>
            </w:pPr>
            <w:r>
              <w:t xml:space="preserve">Not required; risk acceptance on file</w:t>
            </w:r>
          </w:p>
        </w:tc>
        <w:tc>
          <w:tcPr/>
          <w:p>
            <w:pPr>
              <w:pStyle w:val="Compact"/>
            </w:pPr>
            <w:r>
              <w:t xml:space="preserve">Required</w:t>
            </w:r>
          </w:p>
        </w:tc>
        <w:tc>
          <w:tcPr/>
          <w:p>
            <w:pPr>
              <w:pStyle w:val="Compact"/>
            </w:pPr>
            <w:r>
              <w:t xml:space="preserve">180 days</w:t>
            </w:r>
          </w:p>
        </w:tc>
        <w:tc>
          <w:tcPr/>
          <w:p>
            <w:pPr>
              <w:pStyle w:val="Compact"/>
            </w:pPr>
            <w:r>
              <w:rPr>
                <w:rStyle w:val="VerbatimChar"/>
              </w:rPr>
              <w:t xml:space="preserve">PRV-T2-GroupsAdmin-&lt;AU&gt;</w:t>
            </w:r>
          </w:p>
        </w:tc>
      </w:tr>
      <w:tr>
        <w:tc>
          <w:tcPr/>
          <w:p>
            <w:pPr>
              <w:pStyle w:val="Compact"/>
            </w:pPr>
            <w:r>
              <w:t xml:space="preserve">Helpdesk Administrator</w:t>
            </w:r>
          </w:p>
        </w:tc>
        <w:tc>
          <w:tcPr/>
          <w:p>
            <w:pPr>
              <w:pStyle w:val="Compact"/>
            </w:pPr>
            <w:r>
              <w:t xml:space="preserve">8 hours</w:t>
            </w:r>
          </w:p>
        </w:tc>
        <w:tc>
          <w:tcPr/>
          <w:p>
            <w:pPr>
              <w:pStyle w:val="Compact"/>
            </w:pPr>
            <w:r>
              <w:t xml:space="preserve">Not required; risk acceptance on file</w:t>
            </w:r>
          </w:p>
        </w:tc>
        <w:tc>
          <w:tcPr/>
          <w:p>
            <w:pPr>
              <w:pStyle w:val="Compact"/>
            </w:pPr>
            <w:r>
              <w:t xml:space="preserve">Required</w:t>
            </w:r>
          </w:p>
        </w:tc>
        <w:tc>
          <w:tcPr/>
          <w:p>
            <w:pPr>
              <w:pStyle w:val="Compact"/>
            </w:pPr>
            <w:r>
              <w:t xml:space="preserve">180 days</w:t>
            </w:r>
          </w:p>
        </w:tc>
        <w:tc>
          <w:tcPr/>
          <w:p>
            <w:pPr>
              <w:pStyle w:val="Compact"/>
            </w:pPr>
            <w:r>
              <w:rPr>
                <w:rStyle w:val="VerbatimChar"/>
              </w:rPr>
              <w:t xml:space="preserve">PRV-T2-HelpdeskAdmin-&lt;AU&gt;</w:t>
            </w:r>
          </w:p>
        </w:tc>
      </w:tr>
      <w:tr>
        <w:tc>
          <w:tcPr/>
          <w:p>
            <w:pPr>
              <w:pStyle w:val="Compact"/>
            </w:pPr>
            <w:r>
              <w:t xml:space="preserve">Password Administrator</w:t>
            </w:r>
          </w:p>
        </w:tc>
        <w:tc>
          <w:tcPr/>
          <w:p>
            <w:pPr>
              <w:pStyle w:val="Compact"/>
            </w:pPr>
            <w:r>
              <w:t xml:space="preserve">8 hours</w:t>
            </w:r>
          </w:p>
        </w:tc>
        <w:tc>
          <w:tcPr/>
          <w:p>
            <w:pPr>
              <w:pStyle w:val="Compact"/>
            </w:pPr>
            <w:r>
              <w:t xml:space="preserve">Not required; risk acceptance on file</w:t>
            </w:r>
          </w:p>
        </w:tc>
        <w:tc>
          <w:tcPr/>
          <w:p>
            <w:pPr>
              <w:pStyle w:val="Compact"/>
            </w:pPr>
            <w:r>
              <w:t xml:space="preserve">Required</w:t>
            </w:r>
          </w:p>
        </w:tc>
        <w:tc>
          <w:tcPr/>
          <w:p>
            <w:pPr>
              <w:pStyle w:val="Compact"/>
            </w:pPr>
            <w:r>
              <w:t xml:space="preserve">180 days</w:t>
            </w:r>
          </w:p>
        </w:tc>
        <w:tc>
          <w:tcPr/>
          <w:p>
            <w:pPr>
              <w:pStyle w:val="Compact"/>
            </w:pPr>
            <w:r>
              <w:rPr>
                <w:rStyle w:val="VerbatimChar"/>
              </w:rPr>
              <w:t xml:space="preserve">PRV-T2-PasswordAdmin-&lt;AU&gt;</w:t>
            </w:r>
          </w:p>
        </w:tc>
      </w:tr>
      <w:tr>
        <w:tc>
          <w:tcPr/>
          <w:p>
            <w:pPr>
              <w:pStyle w:val="Compact"/>
            </w:pPr>
            <w:r>
              <w:t xml:space="preserve">Authentication Administrator</w:t>
            </w:r>
          </w:p>
        </w:tc>
        <w:tc>
          <w:tcPr/>
          <w:p>
            <w:pPr>
              <w:pStyle w:val="Compact"/>
            </w:pPr>
            <w:r>
              <w:t xml:space="preserve">8 hours</w:t>
            </w:r>
          </w:p>
        </w:tc>
        <w:tc>
          <w:tcPr/>
          <w:p>
            <w:pPr>
              <w:pStyle w:val="Compact"/>
            </w:pPr>
            <w:r>
              <w:t xml:space="preserve">Not required; risk acceptance on file</w:t>
            </w:r>
          </w:p>
        </w:tc>
        <w:tc>
          <w:tcPr/>
          <w:p>
            <w:pPr>
              <w:pStyle w:val="Compact"/>
            </w:pPr>
            <w:r>
              <w:t xml:space="preserve">Required</w:t>
            </w:r>
          </w:p>
        </w:tc>
        <w:tc>
          <w:tcPr/>
          <w:p>
            <w:pPr>
              <w:pStyle w:val="Compact"/>
            </w:pPr>
            <w:r>
              <w:t xml:space="preserve">180 days</w:t>
            </w:r>
          </w:p>
        </w:tc>
        <w:tc>
          <w:tcPr/>
          <w:p>
            <w:pPr>
              <w:pStyle w:val="Compact"/>
            </w:pPr>
            <w:r>
              <w:rPr>
                <w:rStyle w:val="VerbatimChar"/>
              </w:rPr>
              <w:t xml:space="preserve">PRV-T2-AuthAdmin-&lt;AU&gt;</w:t>
            </w:r>
          </w:p>
        </w:tc>
      </w:tr>
    </w:tbl>
    <w:p>
      <w:pPr>
        <w:pStyle w:val="BodyText"/>
      </w:pPr>
      <w:r>
        <w:t xml:space="preserve">The risk acceptance rests on three compensating facts: the assignment is scoped to an administrative unit, these roles can’t change the credentials of members of role-assignable groups,</w:t>
      </w:r>
      <w:r>
        <w:rPr>
          <w:rStyle w:val="FootnoteReference"/>
        </w:rPr>
        <w:footnoteReference w:id="38"/>
      </w:r>
      <w:r>
        <w:t xml:space="preserve"> </w:t>
      </w:r>
      <w:r>
        <w:t xml:space="preserve">and every activation still passes</w:t>
      </w:r>
      <w:r>
        <w:t xml:space="preserve"> </w:t>
      </w:r>
      <w:r>
        <w:rPr>
          <w:rStyle w:val="VerbatimChar"/>
        </w:rPr>
        <w:t xml:space="preserve">c1</w:t>
      </w:r>
      <w:r>
        <w:t xml:space="preserve"> </w:t>
      </w:r>
      <w:r>
        <w:t xml:space="preserve">and is alerted to the SOC. Microsoft recommends approval for eligible assignments in groups used to elevate into roles, because otherwise someone who can reset an eligible user’s credentials could activate on their behalf;</w:t>
      </w:r>
      <w:r>
        <w:rPr>
          <w:rStyle w:val="FootnoteReference"/>
        </w:rPr>
        <w:footnoteReference w:id="40"/>
      </w:r>
      <w:r>
        <w:t xml:space="preserve"> </w:t>
      </w:r>
      <w:r>
        <w:t xml:space="preserve">if an agency’s help desk can reset the credentials of Tier 2 administrators, withdraw the risk acceptance and require</w:t>
      </w:r>
      <w:r>
        <w:t xml:space="preserve"> </w:t>
      </w:r>
      <w:r>
        <w:rPr>
          <w:rStyle w:val="VerbatimChar"/>
        </w:rPr>
        <w:t xml:space="preserve">PIM-Approvers-T2</w:t>
      </w:r>
      <w:r>
        <w:t xml:space="preserve">.</w:t>
      </w:r>
    </w:p>
    <w:bookmarkEnd w:id="41"/>
    <w:bookmarkStart w:id="43" w:name="read-only"/>
    <w:p>
      <w:pPr>
        <w:pStyle w:val="Heading2"/>
      </w:pPr>
      <w:r>
        <w:t xml:space="preserve">Read-only</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Role</w:t>
            </w:r>
          </w:p>
        </w:tc>
        <w:tc>
          <w:tcPr/>
          <w:p>
            <w:pPr>
              <w:pStyle w:val="Compact"/>
            </w:pPr>
            <w:r>
              <w:t xml:space="preserve">Max activation</w:t>
            </w:r>
          </w:p>
        </w:tc>
        <w:tc>
          <w:tcPr/>
          <w:p>
            <w:pPr>
              <w:pStyle w:val="Compact"/>
            </w:pPr>
            <w:r>
              <w:t xml:space="preserve">Approval</w:t>
            </w:r>
          </w:p>
        </w:tc>
        <w:tc>
          <w:tcPr/>
          <w:p>
            <w:pPr>
              <w:pStyle w:val="Compact"/>
            </w:pPr>
            <w:r>
              <w:t xml:space="preserve">Ticket</w:t>
            </w:r>
          </w:p>
        </w:tc>
        <w:tc>
          <w:tcPr/>
          <w:p>
            <w:pPr>
              <w:pStyle w:val="Compact"/>
            </w:pPr>
            <w:r>
              <w:t xml:space="preserve">Eligibility expiry</w:t>
            </w:r>
          </w:p>
        </w:tc>
        <w:tc>
          <w:tcPr/>
          <w:p>
            <w:pPr>
              <w:pStyle w:val="Compact"/>
            </w:pPr>
            <w:r>
              <w:t xml:space="preserve">Eligible to</w:t>
            </w:r>
          </w:p>
        </w:tc>
      </w:tr>
      <w:tr>
        <w:tc>
          <w:tcPr/>
          <w:p>
            <w:pPr>
              <w:pStyle w:val="Compact"/>
            </w:pPr>
            <w:r>
              <w:t xml:space="preserve">Global Reader</w:t>
            </w:r>
          </w:p>
        </w:tc>
        <w:tc>
          <w:tcPr/>
          <w:p>
            <w:pPr>
              <w:pStyle w:val="Compact"/>
            </w:pPr>
            <w:r>
              <w:t xml:space="preserve">8 hours</w:t>
            </w:r>
          </w:p>
        </w:tc>
        <w:tc>
          <w:tcPr/>
          <w:p>
            <w:pPr>
              <w:pStyle w:val="Compact"/>
            </w:pPr>
            <w:r>
              <w:t xml:space="preserve">Not required</w:t>
            </w:r>
          </w:p>
        </w:tc>
        <w:tc>
          <w:tcPr/>
          <w:p>
            <w:pPr>
              <w:pStyle w:val="Compact"/>
            </w:pPr>
            <w:r>
              <w:t xml:space="preserve">Optional</w:t>
            </w:r>
          </w:p>
        </w:tc>
        <w:tc>
          <w:tcPr/>
          <w:p>
            <w:pPr>
              <w:pStyle w:val="Compact"/>
            </w:pPr>
            <w:r>
              <w:t xml:space="preserve">365 days</w:t>
            </w:r>
          </w:p>
        </w:tc>
        <w:tc>
          <w:tcPr/>
          <w:p>
            <w:pPr>
              <w:pStyle w:val="Compact"/>
            </w:pPr>
            <w:r>
              <w:rPr>
                <w:rStyle w:val="VerbatimChar"/>
              </w:rPr>
              <w:t xml:space="preserve">PRV-RO-GlobalReader</w:t>
            </w:r>
          </w:p>
        </w:tc>
      </w:tr>
      <w:tr>
        <w:tc>
          <w:tcPr/>
          <w:p>
            <w:pPr>
              <w:pStyle w:val="Compact"/>
            </w:pPr>
            <w:r>
              <w:t xml:space="preserve">Security Reader</w:t>
            </w:r>
          </w:p>
        </w:tc>
        <w:tc>
          <w:tcPr/>
          <w:p>
            <w:pPr>
              <w:pStyle w:val="Compact"/>
            </w:pPr>
            <w:r>
              <w:t xml:space="preserve">8 hours</w:t>
            </w:r>
          </w:p>
        </w:tc>
        <w:tc>
          <w:tcPr/>
          <w:p>
            <w:pPr>
              <w:pStyle w:val="Compact"/>
            </w:pPr>
            <w:r>
              <w:t xml:space="preserve">Not required</w:t>
            </w:r>
          </w:p>
        </w:tc>
        <w:tc>
          <w:tcPr/>
          <w:p>
            <w:pPr>
              <w:pStyle w:val="Compact"/>
            </w:pPr>
            <w:r>
              <w:t xml:space="preserve">Optional</w:t>
            </w:r>
          </w:p>
        </w:tc>
        <w:tc>
          <w:tcPr/>
          <w:p>
            <w:pPr>
              <w:pStyle w:val="Compact"/>
            </w:pPr>
            <w:r>
              <w:t xml:space="preserve">365 days</w:t>
            </w:r>
          </w:p>
        </w:tc>
        <w:tc>
          <w:tcPr/>
          <w:p>
            <w:pPr>
              <w:pStyle w:val="Compact"/>
            </w:pPr>
            <w:r>
              <w:rPr>
                <w:rStyle w:val="VerbatimChar"/>
              </w:rPr>
              <w:t xml:space="preserve">PRV-RO-SecurityReader</w:t>
            </w:r>
          </w:p>
        </w:tc>
      </w:tr>
      <w:tr>
        <w:tc>
          <w:tcPr/>
          <w:p>
            <w:pPr>
              <w:pStyle w:val="Compact"/>
            </w:pPr>
            <w:r>
              <w:t xml:space="preserve">Reports Reader</w:t>
            </w:r>
          </w:p>
        </w:tc>
        <w:tc>
          <w:tcPr/>
          <w:p>
            <w:pPr>
              <w:pStyle w:val="Compact"/>
            </w:pPr>
            <w:r>
              <w:t xml:space="preserve">8 hours</w:t>
            </w:r>
          </w:p>
        </w:tc>
        <w:tc>
          <w:tcPr/>
          <w:p>
            <w:pPr>
              <w:pStyle w:val="Compact"/>
            </w:pPr>
            <w:r>
              <w:t xml:space="preserve">Not required</w:t>
            </w:r>
          </w:p>
        </w:tc>
        <w:tc>
          <w:tcPr/>
          <w:p>
            <w:pPr>
              <w:pStyle w:val="Compact"/>
            </w:pPr>
            <w:r>
              <w:t xml:space="preserve">Optional</w:t>
            </w:r>
          </w:p>
        </w:tc>
        <w:tc>
          <w:tcPr/>
          <w:p>
            <w:pPr>
              <w:pStyle w:val="Compact"/>
            </w:pPr>
            <w:r>
              <w:t xml:space="preserve">365 days</w:t>
            </w:r>
          </w:p>
        </w:tc>
        <w:tc>
          <w:tcPr/>
          <w:p>
            <w:pPr>
              <w:pStyle w:val="Compact"/>
            </w:pPr>
            <w:r>
              <w:rPr>
                <w:rStyle w:val="VerbatimChar"/>
              </w:rPr>
              <w:t xml:space="preserve">PRV-RO-ReportsReader</w:t>
            </w:r>
          </w:p>
        </w:tc>
      </w:tr>
    </w:tbl>
    <w:p>
      <w:pPr>
        <w:pStyle w:val="BodyText"/>
      </w:pPr>
      <w:r>
        <w:t xml:space="preserve">Global Reader and Security Reader carry Microsoft’s privileged label; Reports Reader doesn’t.</w:t>
      </w:r>
      <w:r>
        <w:rPr>
          <w:rStyle w:val="FootnoteReference"/>
        </w:rPr>
        <w:footnoteReference w:id="42"/>
      </w:r>
      <w:r>
        <w:t xml:space="preserve"> </w:t>
      </w:r>
      <w:r>
        <w:t xml:space="preserve">All three stay eligible-only so that every read session over the security configuration has a justification on record.</w:t>
      </w:r>
    </w:p>
    <w:bookmarkEnd w:id="43"/>
    <w:bookmarkStart w:id="48" w:name="notifications-by-tier"/>
    <w:p>
      <w:pPr>
        <w:pStyle w:val="Heading2"/>
      </w:pPr>
      <w:r>
        <w:t xml:space="preserve">Notifications by tier</w:t>
      </w:r>
    </w:p>
    <w:p>
      <w:pPr>
        <w:pStyle w:val="FirstParagraph"/>
      </w:pPr>
      <w:r>
        <w:t xml:space="preserve">PIM controls each notification per event and per recipient type: off, named recipients only, default recipients plus named ones, or critical emails only. One event reaches at most 1,000 recipients.</w:t>
      </w:r>
      <w:r>
        <w:rPr>
          <w:rStyle w:val="FootnoteReference"/>
        </w:rPr>
        <w:footnoteReference w:id="44"/>
      </w:r>
      <w:r>
        <w:rPr>
          <w:rStyle w:val="FootnoteReference"/>
        </w:rPr>
        <w:footnoteReference w:id="45"/>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Event</w:t>
            </w:r>
          </w:p>
        </w:tc>
        <w:tc>
          <w:tcPr/>
          <w:p>
            <w:pPr>
              <w:pStyle w:val="Compact"/>
            </w:pPr>
            <w:r>
              <w:t xml:space="preserve">Tier 0</w:t>
            </w:r>
          </w:p>
        </w:tc>
        <w:tc>
          <w:tcPr/>
          <w:p>
            <w:pPr>
              <w:pStyle w:val="Compact"/>
            </w:pPr>
            <w:r>
              <w:t xml:space="preserve">Tier 1</w:t>
            </w:r>
          </w:p>
        </w:tc>
        <w:tc>
          <w:tcPr/>
          <w:p>
            <w:pPr>
              <w:pStyle w:val="Compact"/>
            </w:pPr>
            <w:r>
              <w:t xml:space="preserve">Tier 2 and read-only</w:t>
            </w:r>
          </w:p>
        </w:tc>
      </w:tr>
      <w:tr>
        <w:tc>
          <w:tcPr/>
          <w:p>
            <w:pPr>
              <w:pStyle w:val="Compact"/>
            </w:pPr>
            <w:r>
              <w:t xml:space="preserve">Eligible member activates: request to approve</w:t>
            </w:r>
          </w:p>
        </w:tc>
        <w:tc>
          <w:tcPr/>
          <w:p>
            <w:pPr>
              <w:pStyle w:val="Compact"/>
            </w:pPr>
            <w:r>
              <w:rPr>
                <w:rStyle w:val="VerbatimChar"/>
              </w:rPr>
              <w:t xml:space="preserve">PIM-Approvers-T0</w:t>
            </w:r>
          </w:p>
        </w:tc>
        <w:tc>
          <w:tcPr/>
          <w:p>
            <w:pPr>
              <w:pStyle w:val="Compact"/>
            </w:pPr>
            <w:r>
              <w:rPr>
                <w:rStyle w:val="VerbatimChar"/>
              </w:rPr>
              <w:t xml:space="preserve">PIM-Approvers-T1</w:t>
            </w:r>
          </w:p>
        </w:tc>
        <w:tc>
          <w:tcPr/>
          <w:p>
            <w:pPr>
              <w:pStyle w:val="Compact"/>
            </w:pPr>
            <w:r>
              <w:t xml:space="preserve">Not applicable (no approval)</w:t>
            </w:r>
          </w:p>
        </w:tc>
      </w:tr>
      <w:tr>
        <w:tc>
          <w:tcPr/>
          <w:p>
            <w:pPr>
              <w:pStyle w:val="Compact"/>
            </w:pPr>
            <w:r>
              <w:t xml:space="preserve">Eligible member activates: role activation alert</w:t>
            </w:r>
          </w:p>
        </w:tc>
        <w:tc>
          <w:tcPr/>
          <w:p>
            <w:pPr>
              <w:pStyle w:val="Compact"/>
            </w:pPr>
            <w:r>
              <w:t xml:space="preserve">Default recipients plus SOC mailbox</w:t>
            </w:r>
          </w:p>
        </w:tc>
        <w:tc>
          <w:tcPr/>
          <w:p>
            <w:pPr>
              <w:pStyle w:val="Compact"/>
            </w:pPr>
            <w:r>
              <w:t xml:space="preserve">Default recipients plus SOC mailbox</w:t>
            </w:r>
          </w:p>
        </w:tc>
        <w:tc>
          <w:tcPr/>
          <w:p>
            <w:pPr>
              <w:pStyle w:val="Compact"/>
            </w:pPr>
            <w:r>
              <w:t xml:space="preserve">SOC mailbox only, critical emails only off</w:t>
            </w:r>
          </w:p>
        </w:tc>
      </w:tr>
      <w:tr>
        <w:tc>
          <w:tcPr/>
          <w:p>
            <w:pPr>
              <w:pStyle w:val="Compact"/>
            </w:pPr>
            <w:r>
              <w:t xml:space="preserve">Eligible member activates: notice to the requester</w:t>
            </w:r>
          </w:p>
        </w:tc>
        <w:tc>
          <w:tcPr/>
          <w:p>
            <w:pPr>
              <w:pStyle w:val="Compact"/>
            </w:pPr>
            <w:r>
              <w:t xml:space="preserve">On</w:t>
            </w:r>
          </w:p>
        </w:tc>
        <w:tc>
          <w:tcPr/>
          <w:p>
            <w:pPr>
              <w:pStyle w:val="Compact"/>
            </w:pPr>
            <w:r>
              <w:t xml:space="preserve">On</w:t>
            </w:r>
          </w:p>
        </w:tc>
        <w:tc>
          <w:tcPr/>
          <w:p>
            <w:pPr>
              <w:pStyle w:val="Compact"/>
            </w:pPr>
            <w:r>
              <w:t xml:space="preserve">On</w:t>
            </w:r>
          </w:p>
        </w:tc>
      </w:tr>
      <w:tr>
        <w:tc>
          <w:tcPr/>
          <w:p>
            <w:pPr>
              <w:pStyle w:val="Compact"/>
            </w:pPr>
            <w:r>
              <w:t xml:space="preserve">Member assigned as eligible</w:t>
            </w:r>
          </w:p>
        </w:tc>
        <w:tc>
          <w:tcPr/>
          <w:p>
            <w:pPr>
              <w:pStyle w:val="Compact"/>
            </w:pPr>
            <w:r>
              <w:t xml:space="preserve">Default recipients plus SOC mailbox and the identity governance office</w:t>
            </w:r>
          </w:p>
        </w:tc>
        <w:tc>
          <w:tcPr/>
          <w:p>
            <w:pPr>
              <w:pStyle w:val="Compact"/>
            </w:pPr>
            <w:r>
              <w:t xml:space="preserve">Default recipients plus SOC mailbox</w:t>
            </w:r>
          </w:p>
        </w:tc>
        <w:tc>
          <w:tcPr/>
          <w:p>
            <w:pPr>
              <w:pStyle w:val="Compact"/>
            </w:pPr>
            <w:r>
              <w:t xml:space="preserve">SOC mailbox</w:t>
            </w:r>
          </w:p>
        </w:tc>
      </w:tr>
      <w:tr>
        <w:tc>
          <w:tcPr/>
          <w:p>
            <w:pPr>
              <w:pStyle w:val="Compact"/>
            </w:pPr>
            <w:r>
              <w:t xml:space="preserve">Member assigned as active</w:t>
            </w:r>
          </w:p>
        </w:tc>
        <w:tc>
          <w:tcPr/>
          <w:p>
            <w:pPr>
              <w:pStyle w:val="Compact"/>
            </w:pPr>
            <w:r>
              <w:t xml:space="preserve">Default recipients plus SOC mailbox, flagged for incident review</w:t>
            </w:r>
          </w:p>
        </w:tc>
        <w:tc>
          <w:tcPr/>
          <w:p>
            <w:pPr>
              <w:pStyle w:val="Compact"/>
            </w:pPr>
            <w:r>
              <w:t xml:space="preserve">Default recipients plus SOC mailbox, flagged for incident review</w:t>
            </w:r>
          </w:p>
        </w:tc>
        <w:tc>
          <w:tcPr/>
          <w:p>
            <w:pPr>
              <w:pStyle w:val="Compact"/>
            </w:pPr>
            <w:r>
              <w:t xml:space="preserve">Default recipients plus SOC mailbox, flagged for incident review</w:t>
            </w:r>
          </w:p>
        </w:tc>
      </w:tr>
    </w:tbl>
    <w:p>
      <w:pPr>
        <w:pStyle w:val="BodyText"/>
      </w:pPr>
      <w:r>
        <w:t xml:space="preserve">An active assignment should never happen outside the documented exceptions, so every</w:t>
      </w:r>
      <w:r>
        <w:t xml:space="preserve"> </w:t>
      </w:r>
      <w:r>
        <w:t xml:space="preserve">“assigned as active”</w:t>
      </w:r>
      <w:r>
        <w:t xml:space="preserve"> </w:t>
      </w:r>
      <w:r>
        <w:t xml:space="preserve">notice is reconciled against the exception register, alongside the PIM alert for assignments made outside PIM (</w:t>
      </w:r>
      <w:hyperlink r:id="rId47">
        <w:r>
          <w:rPr>
            <w:rStyle w:val="Hyperlink"/>
          </w:rPr>
          <w:t xml:space="preserve">Chapter 08</w:t>
        </w:r>
      </w:hyperlink>
      <w:r>
        <w:t xml:space="preserve">).</w:t>
      </w:r>
    </w:p>
    <w:bookmarkEnd w:id="48"/>
    <w:bookmarkStart w:id="52" w:name="review-cadence-by-tier"/>
    <w:p>
      <w:pPr>
        <w:pStyle w:val="Heading2"/>
      </w:pPr>
      <w:r>
        <w:t xml:space="preserve">Review cadence by tier</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Tier</w:t>
            </w:r>
          </w:p>
        </w:tc>
        <w:tc>
          <w:tcPr/>
          <w:p>
            <w:pPr>
              <w:pStyle w:val="Compact"/>
            </w:pPr>
            <w:r>
              <w:t xml:space="preserve">Role access review</w:t>
            </w:r>
          </w:p>
        </w:tc>
        <w:tc>
          <w:tcPr/>
          <w:p>
            <w:pPr>
              <w:pStyle w:val="Compact"/>
            </w:pPr>
            <w:r>
              <w:t xml:space="preserve">Reviewers</w:t>
            </w:r>
          </w:p>
        </w:tc>
        <w:tc>
          <w:tcPr/>
          <w:p>
            <w:pPr>
              <w:pStyle w:val="Compact"/>
            </w:pPr>
            <w:r>
              <w:t xml:space="preserve">If no response</w:t>
            </w:r>
          </w:p>
        </w:tc>
      </w:tr>
      <w:tr>
        <w:tc>
          <w:tcPr/>
          <w:p>
            <w:pPr>
              <w:pStyle w:val="Compact"/>
            </w:pPr>
            <w:r>
              <w:t xml:space="preserve">Tier 0</w:t>
            </w:r>
          </w:p>
        </w:tc>
        <w:tc>
          <w:tcPr/>
          <w:p>
            <w:pPr>
              <w:pStyle w:val="Compact"/>
            </w:pPr>
            <w:r>
              <w:t xml:space="preserve">Monthly</w:t>
            </w:r>
          </w:p>
        </w:tc>
        <w:tc>
          <w:tcPr/>
          <w:p>
            <w:pPr>
              <w:pStyle w:val="Compact"/>
            </w:pPr>
            <w:r>
              <w:rPr>
                <w:rStyle w:val="VerbatimChar"/>
              </w:rPr>
              <w:t xml:space="preserve">PIM-Approvers-T0</w:t>
            </w:r>
          </w:p>
        </w:tc>
        <w:tc>
          <w:tcPr/>
          <w:p>
            <w:pPr>
              <w:pStyle w:val="Compact"/>
            </w:pPr>
            <w:r>
              <w:t xml:space="preserve">Remove access</w:t>
            </w:r>
          </w:p>
        </w:tc>
      </w:tr>
      <w:tr>
        <w:tc>
          <w:tcPr/>
          <w:p>
            <w:pPr>
              <w:pStyle w:val="Compact"/>
            </w:pPr>
            <w:r>
              <w:t xml:space="preserve">Tier 1</w:t>
            </w:r>
          </w:p>
        </w:tc>
        <w:tc>
          <w:tcPr/>
          <w:p>
            <w:pPr>
              <w:pStyle w:val="Compact"/>
            </w:pPr>
            <w:r>
              <w:t xml:space="preserve">Quarterly</w:t>
            </w:r>
          </w:p>
        </w:tc>
        <w:tc>
          <w:tcPr/>
          <w:p>
            <w:pPr>
              <w:pStyle w:val="Compact"/>
            </w:pPr>
            <w:r>
              <w:t xml:space="preserve">Role owner and</w:t>
            </w:r>
            <w:r>
              <w:t xml:space="preserve"> </w:t>
            </w:r>
            <w:r>
              <w:rPr>
                <w:rStyle w:val="VerbatimChar"/>
              </w:rPr>
              <w:t xml:space="preserve">PIM-Approvers-T1</w:t>
            </w:r>
          </w:p>
        </w:tc>
        <w:tc>
          <w:tcPr/>
          <w:p>
            <w:pPr>
              <w:pStyle w:val="Compact"/>
            </w:pPr>
            <w:r>
              <w:t xml:space="preserve">Remove access</w:t>
            </w:r>
          </w:p>
        </w:tc>
      </w:tr>
      <w:tr>
        <w:tc>
          <w:tcPr/>
          <w:p>
            <w:pPr>
              <w:pStyle w:val="Compact"/>
            </w:pPr>
            <w:r>
              <w:t xml:space="preserve">Tier 2</w:t>
            </w:r>
          </w:p>
        </w:tc>
        <w:tc>
          <w:tcPr/>
          <w:p>
            <w:pPr>
              <w:pStyle w:val="Compact"/>
            </w:pPr>
            <w:r>
              <w:t xml:space="preserve">Quarterly</w:t>
            </w:r>
          </w:p>
        </w:tc>
        <w:tc>
          <w:tcPr/>
          <w:p>
            <w:pPr>
              <w:pStyle w:val="Compact"/>
            </w:pPr>
            <w:r>
              <w:t xml:space="preserve">Role owner (the AU’s department lead) and the security office</w:t>
            </w:r>
          </w:p>
        </w:tc>
        <w:tc>
          <w:tcPr/>
          <w:p>
            <w:pPr>
              <w:pStyle w:val="Compact"/>
            </w:pPr>
            <w:r>
              <w:t xml:space="preserve">Remove access</w:t>
            </w:r>
          </w:p>
        </w:tc>
      </w:tr>
      <w:tr>
        <w:tc>
          <w:tcPr/>
          <w:p>
            <w:pPr>
              <w:pStyle w:val="Compact"/>
            </w:pPr>
            <w:r>
              <w:t xml:space="preserve">Read-only</w:t>
            </w:r>
          </w:p>
        </w:tc>
        <w:tc>
          <w:tcPr/>
          <w:p>
            <w:pPr>
              <w:pStyle w:val="Compact"/>
            </w:pPr>
            <w:r>
              <w:t xml:space="preserve">Quarterly</w:t>
            </w:r>
          </w:p>
        </w:tc>
        <w:tc>
          <w:tcPr/>
          <w:p>
            <w:pPr>
              <w:pStyle w:val="Compact"/>
            </w:pPr>
            <w:r>
              <w:t xml:space="preserve">Security office</w:t>
            </w:r>
          </w:p>
        </w:tc>
        <w:tc>
          <w:tcPr/>
          <w:p>
            <w:pPr>
              <w:pStyle w:val="Compact"/>
            </w:pPr>
            <w:r>
              <w:t xml:space="preserve">Remove access</w:t>
            </w:r>
          </w:p>
        </w:tc>
      </w:tr>
    </w:tbl>
    <w:p>
      <w:pPr>
        <w:pStyle w:val="BodyText"/>
      </w:pPr>
      <w:r>
        <w:t xml:space="preserve">Each role review is paired with a membership review of its</w:t>
      </w:r>
      <w:r>
        <w:t xml:space="preserve"> </w:t>
      </w:r>
      <w:r>
        <w:rPr>
          <w:rStyle w:val="VerbatimChar"/>
        </w:rPr>
        <w:t xml:space="preserve">PRV-*</w:t>
      </w:r>
      <w:r>
        <w:t xml:space="preserve"> </w:t>
      </w:r>
      <w:r>
        <w:t xml:space="preserve">group, because a review of a role held by a group shows the group, not its members (</w:t>
      </w:r>
      <w:hyperlink r:id="rId49">
        <w:r>
          <w:rPr>
            <w:rStyle w:val="Hyperlink"/>
          </w:rPr>
          <w:t xml:space="preserve">Chapter 08</w:t>
        </w:r>
      </w:hyperlink>
      <w:r>
        <w:t xml:space="preserve">).</w:t>
      </w:r>
      <w:r>
        <w:rPr>
          <w:rStyle w:val="FootnoteReference"/>
        </w:rPr>
        <w:footnoteReference w:id="50"/>
      </w:r>
    </w:p>
    <w:bookmarkEnd w:id="52"/>
    <w:bookmarkStart w:id="55" w:name="where-this-appendix-tightens-book-02"/>
    <w:p>
      <w:pPr>
        <w:pStyle w:val="Heading2"/>
      </w:pPr>
      <w:r>
        <w:t xml:space="preserve">Where this appendix tightens Book 02</w:t>
      </w:r>
    </w:p>
    <w:p>
      <w:pPr>
        <w:pStyle w:val="FirstParagraph"/>
      </w:pPr>
      <w:hyperlink r:id="rId13">
        <w:r>
          <w:rPr>
            <w:rStyle w:val="Hyperlink"/>
          </w:rPr>
          <w:t xml:space="preserve">Book 02, Chapter 09</w:t>
        </w:r>
      </w:hyperlink>
      <w:r>
        <w:t xml:space="preserve"> </w:t>
      </w:r>
      <w:r>
        <w:t xml:space="preserve">set the migration-era baseline. This book’s tier model tightens it in these places, and these values govern where the two differ:</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Role or setting</w:t>
            </w:r>
          </w:p>
        </w:tc>
        <w:tc>
          <w:tcPr/>
          <w:p>
            <w:pPr>
              <w:pStyle w:val="Compact"/>
            </w:pPr>
            <w:r>
              <w:t xml:space="preserve">Book 02, Chapter 09</w:t>
            </w:r>
          </w:p>
        </w:tc>
        <w:tc>
          <w:tcPr/>
          <w:p>
            <w:pPr>
              <w:pStyle w:val="Compact"/>
            </w:pPr>
            <w:r>
              <w:t xml:space="preserve">This appendix</w:t>
            </w:r>
          </w:p>
        </w:tc>
        <w:tc>
          <w:tcPr/>
          <w:p>
            <w:pPr>
              <w:pStyle w:val="Compact"/>
            </w:pPr>
            <w:r>
              <w:t xml:space="preserve">Reason</w:t>
            </w:r>
          </w:p>
        </w:tc>
      </w:tr>
      <w:tr>
        <w:tc>
          <w:tcPr/>
          <w:p>
            <w:pPr>
              <w:pStyle w:val="Compact"/>
            </w:pPr>
            <w:r>
              <w:t xml:space="preserve">Security Administrator</w:t>
            </w:r>
          </w:p>
        </w:tc>
        <w:tc>
          <w:tcPr/>
          <w:p>
            <w:pPr>
              <w:pStyle w:val="Compact"/>
            </w:pPr>
            <w:r>
              <w:t xml:space="preserve">8 hours</w:t>
            </w:r>
          </w:p>
        </w:tc>
        <w:tc>
          <w:tcPr/>
          <w:p>
            <w:pPr>
              <w:pStyle w:val="Compact"/>
            </w:pPr>
            <w:r>
              <w:t xml:space="preserve">4 hours</w:t>
            </w:r>
          </w:p>
        </w:tc>
        <w:tc>
          <w:tcPr/>
          <w:p>
            <w:pPr>
              <w:pStyle w:val="Compact"/>
            </w:pPr>
            <w:r>
              <w:t xml:space="preserve">Tier 0: can change the policies that protect every sign-in</w:t>
            </w:r>
          </w:p>
        </w:tc>
      </w:tr>
      <w:tr>
        <w:tc>
          <w:tcPr/>
          <w:p>
            <w:pPr>
              <w:pStyle w:val="Compact"/>
            </w:pPr>
            <w:r>
              <w:t xml:space="preserve">Conditional Access Administrator</w:t>
            </w:r>
          </w:p>
        </w:tc>
        <w:tc>
          <w:tcPr/>
          <w:p>
            <w:pPr>
              <w:pStyle w:val="Compact"/>
            </w:pPr>
            <w:r>
              <w:t xml:space="preserve">8 hours, no approval</w:t>
            </w:r>
          </w:p>
        </w:tc>
        <w:tc>
          <w:tcPr/>
          <w:p>
            <w:pPr>
              <w:pStyle w:val="Compact"/>
            </w:pPr>
            <w:r>
              <w:t xml:space="preserve">4 hours, approval by</w:t>
            </w:r>
            <w:r>
              <w:t xml:space="preserve"> </w:t>
            </w:r>
            <w:r>
              <w:rPr>
                <w:rStyle w:val="VerbatimChar"/>
              </w:rPr>
              <w:t xml:space="preserve">PIM-Approvers-T0</w:t>
            </w:r>
          </w:p>
        </w:tc>
        <w:tc>
          <w:tcPr/>
          <w:p>
            <w:pPr>
              <w:pStyle w:val="Compact"/>
            </w:pPr>
            <w:r>
              <w:t xml:space="preserve">Can weaken the activation gate itself (</w:t>
            </w:r>
            <w:hyperlink r:id="rId53">
              <w:r>
                <w:rPr>
                  <w:rStyle w:val="Hyperlink"/>
                </w:rPr>
                <w:t xml:space="preserve">Chapter 04</w:t>
              </w:r>
            </w:hyperlink>
            <w:r>
              <w:t xml:space="preserve">)</w:t>
            </w:r>
          </w:p>
        </w:tc>
      </w:tr>
      <w:tr>
        <w:tc>
          <w:tcPr/>
          <w:p>
            <w:pPr>
              <w:pStyle w:val="Compact"/>
            </w:pPr>
            <w:r>
              <w:t xml:space="preserve">Exchange, SharePoint, Intune, Application and Compliance Administrator</w:t>
            </w:r>
          </w:p>
        </w:tc>
        <w:tc>
          <w:tcPr/>
          <w:p>
            <w:pPr>
              <w:pStyle w:val="Compact"/>
            </w:pPr>
            <w:r>
              <w:t xml:space="preserve">No approval</w:t>
            </w:r>
          </w:p>
        </w:tc>
        <w:tc>
          <w:tcPr/>
          <w:p>
            <w:pPr>
              <w:pStyle w:val="Compact"/>
            </w:pPr>
            <w:r>
              <w:t xml:space="preserve">Approval by</w:t>
            </w:r>
            <w:r>
              <w:t xml:space="preserve"> </w:t>
            </w:r>
            <w:r>
              <w:rPr>
                <w:rStyle w:val="VerbatimChar"/>
              </w:rPr>
              <w:t xml:space="preserve">PIM-Approvers-T1</w:t>
            </w:r>
          </w:p>
        </w:tc>
        <w:tc>
          <w:tcPr/>
          <w:p>
            <w:pPr>
              <w:pStyle w:val="Compact"/>
            </w:pPr>
            <w:r>
              <w:t xml:space="preserve">Tier 1: service-wide control</w:t>
            </w:r>
          </w:p>
        </w:tc>
      </w:tr>
      <w:tr>
        <w:tc>
          <w:tcPr/>
          <w:p>
            <w:pPr>
              <w:pStyle w:val="Compact"/>
            </w:pPr>
            <w:r>
              <w:t xml:space="preserve">Ticket on activation</w:t>
            </w:r>
          </w:p>
        </w:tc>
        <w:tc>
          <w:tcPr/>
          <w:p>
            <w:pPr>
              <w:pStyle w:val="Compact"/>
            </w:pPr>
            <w:r>
              <w:t xml:space="preserve">Global, Privileged Role and Exchange Administrator only</w:t>
            </w:r>
          </w:p>
        </w:tc>
        <w:tc>
          <w:tcPr/>
          <w:p>
            <w:pPr>
              <w:pStyle w:val="Compact"/>
            </w:pPr>
            <w:r>
              <w:t xml:space="preserve">Every Tier 0, 1 and 2 role</w:t>
            </w:r>
          </w:p>
        </w:tc>
        <w:tc>
          <w:tcPr/>
          <w:p>
            <w:pPr>
              <w:pStyle w:val="Compact"/>
            </w:pPr>
            <w:r>
              <w:t xml:space="preserve">Ticket correlation in the ITSM is how activations are reconciled to approved work</w:t>
            </w:r>
          </w:p>
        </w:tc>
      </w:tr>
      <w:tr>
        <w:tc>
          <w:tcPr/>
          <w:p>
            <w:pPr>
              <w:pStyle w:val="Compact"/>
            </w:pPr>
            <w:r>
              <w:t xml:space="preserve">Security Reader, Global Reader</w:t>
            </w:r>
          </w:p>
        </w:tc>
        <w:tc>
          <w:tcPr/>
          <w:p>
            <w:pPr>
              <w:pStyle w:val="Compact"/>
            </w:pPr>
            <w:r>
              <w:t xml:space="preserve">12 hours, no justification</w:t>
            </w:r>
          </w:p>
        </w:tc>
        <w:tc>
          <w:tcPr/>
          <w:p>
            <w:pPr>
              <w:pStyle w:val="Compact"/>
            </w:pPr>
            <w:r>
              <w:t xml:space="preserve">8 hours, justification required</w:t>
            </w:r>
          </w:p>
        </w:tc>
        <w:tc>
          <w:tcPr/>
          <w:p>
            <w:pPr>
              <w:pStyle w:val="Compact"/>
            </w:pPr>
            <w:r>
              <w:t xml:space="preserve">Privileged-labeled read access gets a recorded reason</w:t>
            </w:r>
          </w:p>
        </w:tc>
      </w:tr>
      <w:tr>
        <w:tc>
          <w:tcPr/>
          <w:p>
            <w:pPr>
              <w:pStyle w:val="Compact"/>
            </w:pPr>
            <w:r>
              <w:t xml:space="preserve">Eligibility expiry</w:t>
            </w:r>
          </w:p>
        </w:tc>
        <w:tc>
          <w:tcPr/>
          <w:p>
            <w:pPr>
              <w:pStyle w:val="Compact"/>
            </w:pPr>
            <w:r>
              <w:t xml:space="preserve">At most 12 months</w:t>
            </w:r>
          </w:p>
        </w:tc>
        <w:tc>
          <w:tcPr/>
          <w:p>
            <w:pPr>
              <w:pStyle w:val="Compact"/>
            </w:pPr>
            <w:r>
              <w:t xml:space="preserve">90, 180 or 365 days by tier</w:t>
            </w:r>
          </w:p>
        </w:tc>
        <w:tc>
          <w:tcPr/>
          <w:p>
            <w:pPr>
              <w:pStyle w:val="Compact"/>
            </w:pPr>
            <w:r>
              <w:t xml:space="preserve">Within Book 02’s ceiling</w:t>
            </w:r>
          </w:p>
        </w:tc>
      </w:tr>
      <w:tr>
        <w:tc>
          <w:tcPr/>
          <w:p>
            <w:pPr>
              <w:pStyle w:val="Compact"/>
            </w:pPr>
            <w:r>
              <w:t xml:space="preserve">Role access reviews</w:t>
            </w:r>
          </w:p>
        </w:tc>
        <w:tc>
          <w:tcPr/>
          <w:p>
            <w:pPr>
              <w:pStyle w:val="Compact"/>
            </w:pPr>
            <w:r>
              <w:t xml:space="preserve">Quarterly, assignees self-attest with the security team</w:t>
            </w:r>
          </w:p>
        </w:tc>
        <w:tc>
          <w:tcPr/>
          <w:p>
            <w:pPr>
              <w:pStyle w:val="Compact"/>
            </w:pPr>
            <w:r>
              <w:t xml:space="preserve">Monthly for Tier 0, quarterly otherwise; never self-review</w:t>
            </w:r>
          </w:p>
        </w:tc>
        <w:tc>
          <w:tcPr/>
          <w:p>
            <w:pPr>
              <w:pStyle w:val="Compact"/>
            </w:pPr>
            <w:r>
              <w:t xml:space="preserve">A self-review leaves role-assignable groups out of the review</w:t>
            </w:r>
            <w:r>
              <w:rPr>
                <w:rStyle w:val="FootnoteReference"/>
              </w:rPr>
              <w:footnoteReference w:id="54"/>
            </w:r>
          </w:p>
        </w:tc>
      </w:tr>
    </w:tbl>
    <w:bookmarkEnd w:id="55"/>
    <w:bookmarkStart w:id="63" w:name="role-template-ids"/>
    <w:p>
      <w:pPr>
        <w:pStyle w:val="Heading2"/>
      </w:pPr>
      <w:r>
        <w:t xml:space="preserve">Role template IDs</w:t>
      </w:r>
    </w:p>
    <w:p>
      <w:pPr>
        <w:pStyle w:val="FirstParagraph"/>
      </w:pPr>
      <w:r>
        <w:t xml:space="preserve">Template IDs are immutable and the same in every tenant; Graph uses them to find each role’s policy.</w:t>
      </w:r>
      <w:r>
        <w:rPr>
          <w:rStyle w:val="FootnoteReference"/>
        </w:rPr>
        <w:footnoteReference w:id="56"/>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Role</w:t>
            </w:r>
          </w:p>
        </w:tc>
        <w:tc>
          <w:tcPr/>
          <w:p>
            <w:pPr>
              <w:pStyle w:val="Compact"/>
            </w:pPr>
            <w:r>
              <w:t xml:space="preserve">Tier</w:t>
            </w:r>
          </w:p>
        </w:tc>
        <w:tc>
          <w:tcPr/>
          <w:p>
            <w:pPr>
              <w:pStyle w:val="Compact"/>
            </w:pPr>
            <w:r>
              <w:t xml:space="preserve">Privileged label</w:t>
            </w:r>
          </w:p>
        </w:tc>
        <w:tc>
          <w:tcPr/>
          <w:p>
            <w:pPr>
              <w:pStyle w:val="Compact"/>
            </w:pPr>
            <w:r>
              <w:t xml:space="preserve">Template ID</w:t>
            </w:r>
          </w:p>
        </w:tc>
      </w:tr>
      <w:tr>
        <w:tc>
          <w:tcPr/>
          <w:p>
            <w:pPr>
              <w:pStyle w:val="Compact"/>
            </w:pPr>
            <w:r>
              <w:t xml:space="preserve">Global Administrator</w:t>
            </w:r>
          </w:p>
        </w:tc>
        <w:tc>
          <w:tcPr/>
          <w:p>
            <w:pPr>
              <w:pStyle w:val="Compact"/>
            </w:pPr>
            <w:r>
              <w:t xml:space="preserve">T0</w:t>
            </w:r>
          </w:p>
        </w:tc>
        <w:tc>
          <w:tcPr/>
          <w:p>
            <w:pPr>
              <w:pStyle w:val="Compact"/>
            </w:pPr>
            <w:r>
              <w:t xml:space="preserve">Yes</w:t>
            </w:r>
          </w:p>
        </w:tc>
        <w:tc>
          <w:tcPr/>
          <w:p>
            <w:pPr>
              <w:pStyle w:val="Compact"/>
            </w:pPr>
            <w:r>
              <w:rPr>
                <w:rStyle w:val="VerbatimChar"/>
              </w:rPr>
              <w:t xml:space="preserve">62e90394-69f5-4237-9190-012177145e10</w:t>
            </w:r>
          </w:p>
        </w:tc>
      </w:tr>
      <w:tr>
        <w:tc>
          <w:tcPr/>
          <w:p>
            <w:pPr>
              <w:pStyle w:val="Compact"/>
            </w:pPr>
            <w:r>
              <w:t xml:space="preserve">Privileged Role Administrator</w:t>
            </w:r>
          </w:p>
        </w:tc>
        <w:tc>
          <w:tcPr/>
          <w:p>
            <w:pPr>
              <w:pStyle w:val="Compact"/>
            </w:pPr>
            <w:r>
              <w:t xml:space="preserve">T0</w:t>
            </w:r>
          </w:p>
        </w:tc>
        <w:tc>
          <w:tcPr/>
          <w:p>
            <w:pPr>
              <w:pStyle w:val="Compact"/>
            </w:pPr>
            <w:r>
              <w:t xml:space="preserve">Yes</w:t>
            </w:r>
          </w:p>
        </w:tc>
        <w:tc>
          <w:tcPr/>
          <w:p>
            <w:pPr>
              <w:pStyle w:val="Compact"/>
            </w:pPr>
            <w:r>
              <w:rPr>
                <w:rStyle w:val="VerbatimChar"/>
              </w:rPr>
              <w:t xml:space="preserve">e8611ab8-c189-46e8-94e1-60213ab1f814</w:t>
            </w:r>
          </w:p>
        </w:tc>
      </w:tr>
      <w:tr>
        <w:tc>
          <w:tcPr/>
          <w:p>
            <w:pPr>
              <w:pStyle w:val="Compact"/>
            </w:pPr>
            <w:r>
              <w:t xml:space="preserve">Privileged Authentication Administrator</w:t>
            </w:r>
          </w:p>
        </w:tc>
        <w:tc>
          <w:tcPr/>
          <w:p>
            <w:pPr>
              <w:pStyle w:val="Compact"/>
            </w:pPr>
            <w:r>
              <w:t xml:space="preserve">T0</w:t>
            </w:r>
          </w:p>
        </w:tc>
        <w:tc>
          <w:tcPr/>
          <w:p>
            <w:pPr>
              <w:pStyle w:val="Compact"/>
            </w:pPr>
            <w:r>
              <w:t xml:space="preserve">Yes</w:t>
            </w:r>
          </w:p>
        </w:tc>
        <w:tc>
          <w:tcPr/>
          <w:p>
            <w:pPr>
              <w:pStyle w:val="Compact"/>
            </w:pPr>
            <w:r>
              <w:rPr>
                <w:rStyle w:val="VerbatimChar"/>
              </w:rPr>
              <w:t xml:space="preserve">7be44c8a-adaf-4e2a-84d6-ab2649e08a13</w:t>
            </w:r>
          </w:p>
        </w:tc>
      </w:tr>
      <w:tr>
        <w:tc>
          <w:tcPr/>
          <w:p>
            <w:pPr>
              <w:pStyle w:val="Compact"/>
            </w:pPr>
            <w:r>
              <w:t xml:space="preserve">Security Administrator</w:t>
            </w:r>
          </w:p>
        </w:tc>
        <w:tc>
          <w:tcPr/>
          <w:p>
            <w:pPr>
              <w:pStyle w:val="Compact"/>
            </w:pPr>
            <w:r>
              <w:t xml:space="preserve">T0</w:t>
            </w:r>
          </w:p>
        </w:tc>
        <w:tc>
          <w:tcPr/>
          <w:p>
            <w:pPr>
              <w:pStyle w:val="Compact"/>
            </w:pPr>
            <w:r>
              <w:t xml:space="preserve">Yes</w:t>
            </w:r>
          </w:p>
        </w:tc>
        <w:tc>
          <w:tcPr/>
          <w:p>
            <w:pPr>
              <w:pStyle w:val="Compact"/>
            </w:pPr>
            <w:r>
              <w:rPr>
                <w:rStyle w:val="VerbatimChar"/>
              </w:rPr>
              <w:t xml:space="preserve">194ae4cb-b126-40b2-bd5b-6091b380977d</w:t>
            </w:r>
          </w:p>
        </w:tc>
      </w:tr>
      <w:tr>
        <w:tc>
          <w:tcPr/>
          <w:p>
            <w:pPr>
              <w:pStyle w:val="Compact"/>
            </w:pPr>
            <w:r>
              <w:t xml:space="preserve">Conditional Access Administrator</w:t>
            </w:r>
          </w:p>
        </w:tc>
        <w:tc>
          <w:tcPr/>
          <w:p>
            <w:pPr>
              <w:pStyle w:val="Compact"/>
            </w:pPr>
            <w:r>
              <w:t xml:space="preserve">T0</w:t>
            </w:r>
          </w:p>
        </w:tc>
        <w:tc>
          <w:tcPr/>
          <w:p>
            <w:pPr>
              <w:pStyle w:val="Compact"/>
            </w:pPr>
            <w:r>
              <w:t xml:space="preserve">Yes</w:t>
            </w:r>
          </w:p>
        </w:tc>
        <w:tc>
          <w:tcPr/>
          <w:p>
            <w:pPr>
              <w:pStyle w:val="Compact"/>
            </w:pPr>
            <w:r>
              <w:rPr>
                <w:rStyle w:val="VerbatimChar"/>
              </w:rPr>
              <w:t xml:space="preserve">b1be1c3e-b65d-4f19-8427-f6fa0d97feb9</w:t>
            </w:r>
          </w:p>
        </w:tc>
      </w:tr>
      <w:tr>
        <w:tc>
          <w:tcPr/>
          <w:p>
            <w:pPr>
              <w:pStyle w:val="Compact"/>
            </w:pPr>
            <w:r>
              <w:t xml:space="preserve">Exchange Administrator</w:t>
            </w:r>
          </w:p>
        </w:tc>
        <w:tc>
          <w:tcPr/>
          <w:p>
            <w:pPr>
              <w:pStyle w:val="Compact"/>
            </w:pPr>
            <w:r>
              <w:t xml:space="preserve">T1</w:t>
            </w:r>
          </w:p>
        </w:tc>
        <w:tc>
          <w:tcPr/>
          <w:p>
            <w:pPr>
              <w:pStyle w:val="Compact"/>
            </w:pPr>
            <w:r>
              <w:t xml:space="preserve">No</w:t>
            </w:r>
          </w:p>
        </w:tc>
        <w:tc>
          <w:tcPr/>
          <w:p>
            <w:pPr>
              <w:pStyle w:val="Compact"/>
            </w:pPr>
            <w:r>
              <w:rPr>
                <w:rStyle w:val="VerbatimChar"/>
              </w:rPr>
              <w:t xml:space="preserve">29232cdf-9323-42fd-ade2-1d097af3e4de</w:t>
            </w:r>
          </w:p>
        </w:tc>
      </w:tr>
      <w:tr>
        <w:tc>
          <w:tcPr/>
          <w:p>
            <w:pPr>
              <w:pStyle w:val="Compact"/>
            </w:pPr>
            <w:r>
              <w:t xml:space="preserve">SharePoint Administrator</w:t>
            </w:r>
          </w:p>
        </w:tc>
        <w:tc>
          <w:tcPr/>
          <w:p>
            <w:pPr>
              <w:pStyle w:val="Compact"/>
            </w:pPr>
            <w:r>
              <w:t xml:space="preserve">T1</w:t>
            </w:r>
          </w:p>
        </w:tc>
        <w:tc>
          <w:tcPr/>
          <w:p>
            <w:pPr>
              <w:pStyle w:val="Compact"/>
            </w:pPr>
            <w:r>
              <w:t xml:space="preserve">No</w:t>
            </w:r>
          </w:p>
        </w:tc>
        <w:tc>
          <w:tcPr/>
          <w:p>
            <w:pPr>
              <w:pStyle w:val="Compact"/>
            </w:pPr>
            <w:r>
              <w:rPr>
                <w:rStyle w:val="VerbatimChar"/>
              </w:rPr>
              <w:t xml:space="preserve">f28a1f50-f6e7-4571-818b-6a12f2af6b6c</w:t>
            </w:r>
          </w:p>
        </w:tc>
      </w:tr>
      <w:tr>
        <w:tc>
          <w:tcPr/>
          <w:p>
            <w:pPr>
              <w:pStyle w:val="Compact"/>
            </w:pPr>
            <w:r>
              <w:t xml:space="preserve">Teams Administrator</w:t>
            </w:r>
          </w:p>
        </w:tc>
        <w:tc>
          <w:tcPr/>
          <w:p>
            <w:pPr>
              <w:pStyle w:val="Compact"/>
            </w:pPr>
            <w:r>
              <w:t xml:space="preserve">T1</w:t>
            </w:r>
          </w:p>
        </w:tc>
        <w:tc>
          <w:tcPr/>
          <w:p>
            <w:pPr>
              <w:pStyle w:val="Compact"/>
            </w:pPr>
            <w:r>
              <w:t xml:space="preserve">No</w:t>
            </w:r>
          </w:p>
        </w:tc>
        <w:tc>
          <w:tcPr/>
          <w:p>
            <w:pPr>
              <w:pStyle w:val="Compact"/>
            </w:pPr>
            <w:r>
              <w:rPr>
                <w:rStyle w:val="VerbatimChar"/>
              </w:rPr>
              <w:t xml:space="preserve">69091246-20e8-4a56-aa4d-066075b2a7a8</w:t>
            </w:r>
          </w:p>
        </w:tc>
      </w:tr>
      <w:tr>
        <w:tc>
          <w:tcPr/>
          <w:p>
            <w:pPr>
              <w:pStyle w:val="Compact"/>
            </w:pPr>
            <w:r>
              <w:t xml:space="preserve">Intune Administrator</w:t>
            </w:r>
          </w:p>
        </w:tc>
        <w:tc>
          <w:tcPr/>
          <w:p>
            <w:pPr>
              <w:pStyle w:val="Compact"/>
            </w:pPr>
            <w:r>
              <w:t xml:space="preserve">T1</w:t>
            </w:r>
          </w:p>
        </w:tc>
        <w:tc>
          <w:tcPr/>
          <w:p>
            <w:pPr>
              <w:pStyle w:val="Compact"/>
            </w:pPr>
            <w:r>
              <w:t xml:space="preserve">Yes</w:t>
            </w:r>
          </w:p>
        </w:tc>
        <w:tc>
          <w:tcPr/>
          <w:p>
            <w:pPr>
              <w:pStyle w:val="Compact"/>
            </w:pPr>
            <w:r>
              <w:rPr>
                <w:rStyle w:val="VerbatimChar"/>
              </w:rPr>
              <w:t xml:space="preserve">3a2c62db-5318-420d-8d74-23affee5d9d5</w:t>
            </w:r>
          </w:p>
        </w:tc>
      </w:tr>
      <w:tr>
        <w:tc>
          <w:tcPr/>
          <w:p>
            <w:pPr>
              <w:pStyle w:val="Compact"/>
            </w:pPr>
            <w:r>
              <w:t xml:space="preserve">Application Administrator</w:t>
            </w:r>
          </w:p>
        </w:tc>
        <w:tc>
          <w:tcPr/>
          <w:p>
            <w:pPr>
              <w:pStyle w:val="Compact"/>
            </w:pPr>
            <w:r>
              <w:t xml:space="preserve">T1</w:t>
            </w:r>
          </w:p>
        </w:tc>
        <w:tc>
          <w:tcPr/>
          <w:p>
            <w:pPr>
              <w:pStyle w:val="Compact"/>
            </w:pPr>
            <w:r>
              <w:t xml:space="preserve">Yes</w:t>
            </w:r>
          </w:p>
        </w:tc>
        <w:tc>
          <w:tcPr/>
          <w:p>
            <w:pPr>
              <w:pStyle w:val="Compact"/>
            </w:pPr>
            <w:r>
              <w:rPr>
                <w:rStyle w:val="VerbatimChar"/>
              </w:rPr>
              <w:t xml:space="preserve">9b895d92-2cd3-44c7-9d02-a6ac2d5ea5c3</w:t>
            </w:r>
          </w:p>
        </w:tc>
      </w:tr>
      <w:tr>
        <w:tc>
          <w:tcPr/>
          <w:p>
            <w:pPr>
              <w:pStyle w:val="Compact"/>
            </w:pPr>
            <w:r>
              <w:t xml:space="preserve">Cloud Application Administrator</w:t>
            </w:r>
          </w:p>
        </w:tc>
        <w:tc>
          <w:tcPr/>
          <w:p>
            <w:pPr>
              <w:pStyle w:val="Compact"/>
            </w:pPr>
            <w:r>
              <w:t xml:space="preserve">T1</w:t>
            </w:r>
          </w:p>
        </w:tc>
        <w:tc>
          <w:tcPr/>
          <w:p>
            <w:pPr>
              <w:pStyle w:val="Compact"/>
            </w:pPr>
            <w:r>
              <w:t xml:space="preserve">Yes</w:t>
            </w:r>
          </w:p>
        </w:tc>
        <w:tc>
          <w:tcPr/>
          <w:p>
            <w:pPr>
              <w:pStyle w:val="Compact"/>
            </w:pPr>
            <w:r>
              <w:rPr>
                <w:rStyle w:val="VerbatimChar"/>
              </w:rPr>
              <w:t xml:space="preserve">158c047a-c907-4556-b7ef-446551a6b5f7</w:t>
            </w:r>
          </w:p>
        </w:tc>
      </w:tr>
      <w:tr>
        <w:tc>
          <w:tcPr/>
          <w:p>
            <w:pPr>
              <w:pStyle w:val="Compact"/>
            </w:pPr>
            <w:r>
              <w:t xml:space="preserve">Hybrid Identity Administrator</w:t>
            </w:r>
          </w:p>
        </w:tc>
        <w:tc>
          <w:tcPr/>
          <w:p>
            <w:pPr>
              <w:pStyle w:val="Compact"/>
            </w:pPr>
            <w:r>
              <w:t xml:space="preserve">T1</w:t>
            </w:r>
          </w:p>
        </w:tc>
        <w:tc>
          <w:tcPr/>
          <w:p>
            <w:pPr>
              <w:pStyle w:val="Compact"/>
            </w:pPr>
            <w:r>
              <w:t xml:space="preserve">Yes</w:t>
            </w:r>
          </w:p>
        </w:tc>
        <w:tc>
          <w:tcPr/>
          <w:p>
            <w:pPr>
              <w:pStyle w:val="Compact"/>
            </w:pPr>
            <w:r>
              <w:rPr>
                <w:rStyle w:val="VerbatimChar"/>
              </w:rPr>
              <w:t xml:space="preserve">8ac3fc64-6eca-42ea-9e69-59f4c7b60eb2</w:t>
            </w:r>
          </w:p>
        </w:tc>
      </w:tr>
      <w:tr>
        <w:tc>
          <w:tcPr/>
          <w:p>
            <w:pPr>
              <w:pStyle w:val="Compact"/>
            </w:pPr>
            <w:r>
              <w:t xml:space="preserve">Authentication Policy Administrator</w:t>
            </w:r>
          </w:p>
        </w:tc>
        <w:tc>
          <w:tcPr/>
          <w:p>
            <w:pPr>
              <w:pStyle w:val="Compact"/>
            </w:pPr>
            <w:r>
              <w:t xml:space="preserve">T1</w:t>
            </w:r>
          </w:p>
        </w:tc>
        <w:tc>
          <w:tcPr/>
          <w:p>
            <w:pPr>
              <w:pStyle w:val="Compact"/>
            </w:pPr>
            <w:r>
              <w:t xml:space="preserve">No</w:t>
            </w:r>
          </w:p>
        </w:tc>
        <w:tc>
          <w:tcPr/>
          <w:p>
            <w:pPr>
              <w:pStyle w:val="Compact"/>
            </w:pPr>
            <w:r>
              <w:rPr>
                <w:rStyle w:val="VerbatimChar"/>
              </w:rPr>
              <w:t xml:space="preserve">0526716b-113d-4c15-b2c8-68e3c22b9f80</w:t>
            </w:r>
          </w:p>
        </w:tc>
      </w:tr>
      <w:tr>
        <w:tc>
          <w:tcPr/>
          <w:p>
            <w:pPr>
              <w:pStyle w:val="Compact"/>
            </w:pPr>
            <w:r>
              <w:t xml:space="preserve">Compliance Administrator</w:t>
            </w:r>
          </w:p>
        </w:tc>
        <w:tc>
          <w:tcPr/>
          <w:p>
            <w:pPr>
              <w:pStyle w:val="Compact"/>
            </w:pPr>
            <w:r>
              <w:t xml:space="preserve">T1</w:t>
            </w:r>
          </w:p>
        </w:tc>
        <w:tc>
          <w:tcPr/>
          <w:p>
            <w:pPr>
              <w:pStyle w:val="Compact"/>
            </w:pPr>
            <w:r>
              <w:t xml:space="preserve">No</w:t>
            </w:r>
          </w:p>
        </w:tc>
        <w:tc>
          <w:tcPr/>
          <w:p>
            <w:pPr>
              <w:pStyle w:val="Compact"/>
            </w:pPr>
            <w:r>
              <w:rPr>
                <w:rStyle w:val="VerbatimChar"/>
              </w:rPr>
              <w:t xml:space="preserve">17315797-102d-40b4-93e0-432062caca18</w:t>
            </w:r>
          </w:p>
        </w:tc>
      </w:tr>
      <w:tr>
        <w:tc>
          <w:tcPr/>
          <w:p>
            <w:pPr>
              <w:pStyle w:val="Compact"/>
            </w:pPr>
            <w:r>
              <w:t xml:space="preserve">User Administrator</w:t>
            </w:r>
          </w:p>
        </w:tc>
        <w:tc>
          <w:tcPr/>
          <w:p>
            <w:pPr>
              <w:pStyle w:val="Compact"/>
            </w:pPr>
            <w:r>
              <w:t xml:space="preserve">T2</w:t>
            </w:r>
          </w:p>
        </w:tc>
        <w:tc>
          <w:tcPr/>
          <w:p>
            <w:pPr>
              <w:pStyle w:val="Compact"/>
            </w:pPr>
            <w:r>
              <w:t xml:space="preserve">Yes</w:t>
            </w:r>
          </w:p>
        </w:tc>
        <w:tc>
          <w:tcPr/>
          <w:p>
            <w:pPr>
              <w:pStyle w:val="Compact"/>
            </w:pPr>
            <w:r>
              <w:rPr>
                <w:rStyle w:val="VerbatimChar"/>
              </w:rPr>
              <w:t xml:space="preserve">fe930be7-5e62-47db-91af-98c3a49a38b1</w:t>
            </w:r>
          </w:p>
        </w:tc>
      </w:tr>
      <w:tr>
        <w:tc>
          <w:tcPr/>
          <w:p>
            <w:pPr>
              <w:pStyle w:val="Compact"/>
            </w:pPr>
            <w:r>
              <w:t xml:space="preserve">Groups Administrator</w:t>
            </w:r>
          </w:p>
        </w:tc>
        <w:tc>
          <w:tcPr/>
          <w:p>
            <w:pPr>
              <w:pStyle w:val="Compact"/>
            </w:pPr>
            <w:r>
              <w:t xml:space="preserve">T2</w:t>
            </w:r>
          </w:p>
        </w:tc>
        <w:tc>
          <w:tcPr/>
          <w:p>
            <w:pPr>
              <w:pStyle w:val="Compact"/>
            </w:pPr>
            <w:r>
              <w:t xml:space="preserve">No</w:t>
            </w:r>
          </w:p>
        </w:tc>
        <w:tc>
          <w:tcPr/>
          <w:p>
            <w:pPr>
              <w:pStyle w:val="Compact"/>
            </w:pPr>
            <w:r>
              <w:rPr>
                <w:rStyle w:val="VerbatimChar"/>
              </w:rPr>
              <w:t xml:space="preserve">fdd7a751-b60b-444a-984c-02652fe8fa1c</w:t>
            </w:r>
          </w:p>
        </w:tc>
      </w:tr>
      <w:tr>
        <w:tc>
          <w:tcPr/>
          <w:p>
            <w:pPr>
              <w:pStyle w:val="Compact"/>
            </w:pPr>
            <w:r>
              <w:t xml:space="preserve">Helpdesk Administrator</w:t>
            </w:r>
          </w:p>
        </w:tc>
        <w:tc>
          <w:tcPr/>
          <w:p>
            <w:pPr>
              <w:pStyle w:val="Compact"/>
            </w:pPr>
            <w:r>
              <w:t xml:space="preserve">T2</w:t>
            </w:r>
          </w:p>
        </w:tc>
        <w:tc>
          <w:tcPr/>
          <w:p>
            <w:pPr>
              <w:pStyle w:val="Compact"/>
            </w:pPr>
            <w:r>
              <w:t xml:space="preserve">Yes</w:t>
            </w:r>
          </w:p>
        </w:tc>
        <w:tc>
          <w:tcPr/>
          <w:p>
            <w:pPr>
              <w:pStyle w:val="Compact"/>
            </w:pPr>
            <w:r>
              <w:rPr>
                <w:rStyle w:val="VerbatimChar"/>
              </w:rPr>
              <w:t xml:space="preserve">729827e3-9c14-49f7-bb1b-9608f156bbb8</w:t>
            </w:r>
          </w:p>
        </w:tc>
      </w:tr>
      <w:tr>
        <w:tc>
          <w:tcPr/>
          <w:p>
            <w:pPr>
              <w:pStyle w:val="Compact"/>
            </w:pPr>
            <w:r>
              <w:t xml:space="preserve">Password Administrator</w:t>
            </w:r>
          </w:p>
        </w:tc>
        <w:tc>
          <w:tcPr/>
          <w:p>
            <w:pPr>
              <w:pStyle w:val="Compact"/>
            </w:pPr>
            <w:r>
              <w:t xml:space="preserve">T2</w:t>
            </w:r>
          </w:p>
        </w:tc>
        <w:tc>
          <w:tcPr/>
          <w:p>
            <w:pPr>
              <w:pStyle w:val="Compact"/>
            </w:pPr>
            <w:r>
              <w:t xml:space="preserve">Yes</w:t>
            </w:r>
          </w:p>
        </w:tc>
        <w:tc>
          <w:tcPr/>
          <w:p>
            <w:pPr>
              <w:pStyle w:val="Compact"/>
            </w:pPr>
            <w:r>
              <w:rPr>
                <w:rStyle w:val="VerbatimChar"/>
              </w:rPr>
              <w:t xml:space="preserve">966707d0-3269-4727-9be2-8c3a10f19b9d</w:t>
            </w:r>
          </w:p>
        </w:tc>
      </w:tr>
      <w:tr>
        <w:tc>
          <w:tcPr/>
          <w:p>
            <w:pPr>
              <w:pStyle w:val="Compact"/>
            </w:pPr>
            <w:r>
              <w:t xml:space="preserve">Authentication Administrator</w:t>
            </w:r>
          </w:p>
        </w:tc>
        <w:tc>
          <w:tcPr/>
          <w:p>
            <w:pPr>
              <w:pStyle w:val="Compact"/>
            </w:pPr>
            <w:r>
              <w:t xml:space="preserve">T2</w:t>
            </w:r>
          </w:p>
        </w:tc>
        <w:tc>
          <w:tcPr/>
          <w:p>
            <w:pPr>
              <w:pStyle w:val="Compact"/>
            </w:pPr>
            <w:r>
              <w:t xml:space="preserve">Yes</w:t>
            </w:r>
          </w:p>
        </w:tc>
        <w:tc>
          <w:tcPr/>
          <w:p>
            <w:pPr>
              <w:pStyle w:val="Compact"/>
            </w:pPr>
            <w:r>
              <w:rPr>
                <w:rStyle w:val="VerbatimChar"/>
              </w:rPr>
              <w:t xml:space="preserve">c4e39bd9-1100-46d3-8c65-fb160da0071f</w:t>
            </w:r>
          </w:p>
        </w:tc>
      </w:tr>
      <w:tr>
        <w:tc>
          <w:tcPr/>
          <w:p>
            <w:pPr>
              <w:pStyle w:val="Compact"/>
            </w:pPr>
            <w:r>
              <w:t xml:space="preserve">Global Reader</w:t>
            </w:r>
          </w:p>
        </w:tc>
        <w:tc>
          <w:tcPr/>
          <w:p>
            <w:pPr>
              <w:pStyle w:val="Compact"/>
            </w:pPr>
            <w:r>
              <w:t xml:space="preserve">Read-only</w:t>
            </w:r>
          </w:p>
        </w:tc>
        <w:tc>
          <w:tcPr/>
          <w:p>
            <w:pPr>
              <w:pStyle w:val="Compact"/>
            </w:pPr>
            <w:r>
              <w:t xml:space="preserve">Yes</w:t>
            </w:r>
          </w:p>
        </w:tc>
        <w:tc>
          <w:tcPr/>
          <w:p>
            <w:pPr>
              <w:pStyle w:val="Compact"/>
            </w:pPr>
            <w:r>
              <w:rPr>
                <w:rStyle w:val="VerbatimChar"/>
              </w:rPr>
              <w:t xml:space="preserve">f2ef992c-3afb-46b9-b7cf-a126ee74c451</w:t>
            </w:r>
          </w:p>
        </w:tc>
      </w:tr>
      <w:tr>
        <w:tc>
          <w:tcPr/>
          <w:p>
            <w:pPr>
              <w:pStyle w:val="Compact"/>
            </w:pPr>
            <w:r>
              <w:t xml:space="preserve">Security Reader</w:t>
            </w:r>
          </w:p>
        </w:tc>
        <w:tc>
          <w:tcPr/>
          <w:p>
            <w:pPr>
              <w:pStyle w:val="Compact"/>
            </w:pPr>
            <w:r>
              <w:t xml:space="preserve">Read-only</w:t>
            </w:r>
          </w:p>
        </w:tc>
        <w:tc>
          <w:tcPr/>
          <w:p>
            <w:pPr>
              <w:pStyle w:val="Compact"/>
            </w:pPr>
            <w:r>
              <w:t xml:space="preserve">Yes</w:t>
            </w:r>
          </w:p>
        </w:tc>
        <w:tc>
          <w:tcPr/>
          <w:p>
            <w:pPr>
              <w:pStyle w:val="Compact"/>
            </w:pPr>
            <w:r>
              <w:rPr>
                <w:rStyle w:val="VerbatimChar"/>
              </w:rPr>
              <w:t xml:space="preserve">5d6b6bb7-de71-4623-b4af-96380a352509</w:t>
            </w:r>
          </w:p>
        </w:tc>
      </w:tr>
      <w:tr>
        <w:tc>
          <w:tcPr/>
          <w:p>
            <w:pPr>
              <w:pStyle w:val="Compact"/>
            </w:pPr>
            <w:r>
              <w:t xml:space="preserve">Reports Reader</w:t>
            </w:r>
          </w:p>
        </w:tc>
        <w:tc>
          <w:tcPr/>
          <w:p>
            <w:pPr>
              <w:pStyle w:val="Compact"/>
            </w:pPr>
            <w:r>
              <w:t xml:space="preserve">Read-only</w:t>
            </w:r>
          </w:p>
        </w:tc>
        <w:tc>
          <w:tcPr/>
          <w:p>
            <w:pPr>
              <w:pStyle w:val="Compact"/>
            </w:pPr>
            <w:r>
              <w:t xml:space="preserve">No</w:t>
            </w:r>
          </w:p>
        </w:tc>
        <w:tc>
          <w:tcPr/>
          <w:p>
            <w:pPr>
              <w:pStyle w:val="Compact"/>
            </w:pPr>
            <w:r>
              <w:rPr>
                <w:rStyle w:val="VerbatimChar"/>
              </w:rPr>
              <w:t xml:space="preserve">4a5d8f65-41da-4de4-8968-e035b65339cf</w:t>
            </w:r>
          </w:p>
        </w:tc>
      </w:tr>
    </w:tbl>
    <w:p>
      <w:pPr>
        <w:pStyle w:val="BodyText"/>
      </w:pPr>
      <w:r>
        <w:t xml:space="preserve">The privileged label is still described as a preview; recheck it when Microsoft’s role reference changes.</w:t>
      </w:r>
      <w:r>
        <w:rPr>
          <w:rStyle w:val="FootnoteReference"/>
        </w:rPr>
        <w:footnoteReference w:id="57"/>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59" name="Picture"/>
                  <a:graphic>
                    <a:graphicData uri="http://schemas.openxmlformats.org/drawingml/2006/picture">
                      <pic:pic>
                        <pic:nvPicPr>
                          <pic:cNvPr descr="/opt/quarto/share/formats/docx/tip.png" id="60" name="Picture"/>
                          <pic:cNvPicPr>
                            <a:picLocks noChangeArrowheads="1" noChangeAspect="1"/>
                          </pic:cNvPicPr>
                        </pic:nvPicPr>
                        <pic:blipFill>
                          <a:blip r:embed="rId5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61">
              <w:r>
                <w:rPr>
                  <w:rStyle w:val="Hyperlink"/>
                </w:rPr>
                <w:t xml:space="preserve">← Previous: Appendix A — Conditional Access Policy Templates</w:t>
              </w:r>
            </w:hyperlink>
            <w:r>
              <w:t xml:space="preserve"> </w:t>
            </w:r>
            <w:r>
              <w:t xml:space="preserve">·</w:t>
            </w:r>
            <w:r>
              <w:t xml:space="preserve"> </w:t>
            </w:r>
            <w:hyperlink r:id="rId62">
              <w:r>
                <w:rPr>
                  <w:rStyle w:val="Hyperlink"/>
                </w:rPr>
                <w:t xml:space="preserve">Book index</w:t>
              </w:r>
            </w:hyperlink>
          </w:p>
          <w:p/>
        </w:tc>
      </w:tr>
    </w:tbl>
    <w:bookmarkEnd w:id="63"/>
    <w:bookmarkEnd w:id="6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5">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16">
        <w:r>
          <w:rPr>
            <w:rStyle w:val="Hyperlink"/>
          </w:rPr>
          <w:t xml:space="preserve">https://learn.microsoft.com/entra/id-governance/privileged-identity-management/pim-how-to-change-default-settings</w:t>
        </w:r>
      </w:hyperlink>
      <w:r>
        <w:t xml:space="preserve"> </w:t>
      </w:r>
      <w:r>
        <w:t xml:space="preserve">(accessed Oct 20, 2026).</w:t>
      </w:r>
    </w:p>
  </w:footnote>
  <w:footnote w:id="17">
    <w:p>
      <w:pPr>
        <w:pStyle w:val="FootnoteText"/>
      </w:pPr>
      <w:r>
        <w:rPr>
          <w:rStyle w:val="FootnoteReference"/>
        </w:rPr>
        <w:footnoteRef/>
      </w:r>
      <w:r>
        <w:t xml:space="preserve"> </w:t>
      </w:r>
      <w:r>
        <w:t xml:space="preserve">Microsoft Learn,</w:t>
      </w:r>
      <w:r>
        <w:t xml:space="preserve"> </w:t>
      </w:r>
      <w:r>
        <w:t xml:space="preserve">“Approve or deny requests for Microsoft Entra roles in Privileged Identity Management,”</w:t>
      </w:r>
      <w:r>
        <w:t xml:space="preserve"> </w:t>
      </w:r>
      <w:hyperlink r:id="rId18">
        <w:r>
          <w:rPr>
            <w:rStyle w:val="Hyperlink"/>
          </w:rPr>
          <w:t xml:space="preserve">https://learn.microsoft.com/entra/id-governance/privileged-identity-management/pim-approval-workflow</w:t>
        </w:r>
      </w:hyperlink>
      <w:r>
        <w:t xml:space="preserve"> </w:t>
      </w:r>
      <w:r>
        <w:t xml:space="preserve">(accessed Oct 20, 2026).</w:t>
      </w:r>
    </w:p>
  </w:footnote>
  <w:footnote w:id="24">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16">
        <w:r>
          <w:rPr>
            <w:rStyle w:val="Hyperlink"/>
          </w:rPr>
          <w:t xml:space="preserve">https://learn.microsoft.com/entra/id-governance/privileged-identity-management/pim-how-to-change-default-settings</w:t>
        </w:r>
      </w:hyperlink>
      <w:r>
        <w:t xml:space="preserve"> </w:t>
      </w:r>
      <w:r>
        <w:t xml:space="preserve">(accessed Oct 20, 2026).</w:t>
      </w:r>
    </w:p>
  </w:footnote>
  <w:footnote w:id="25">
    <w:p>
      <w:pPr>
        <w:pStyle w:val="FootnoteText"/>
      </w:pPr>
      <w:r>
        <w:rPr>
          <w:rStyle w:val="FootnoteReference"/>
        </w:rPr>
        <w:footnoteRef/>
      </w:r>
      <w:r>
        <w:t xml:space="preserve"> </w:t>
      </w:r>
      <w:r>
        <w:t xml:space="preserve">Microsoft Learn,</w:t>
      </w:r>
      <w:r>
        <w:t xml:space="preserve"> </w:t>
      </w:r>
      <w:r>
        <w:t xml:space="preserve">“Rules in PIM - mapping guide,”</w:t>
      </w:r>
      <w:r>
        <w:t xml:space="preserve"> </w:t>
      </w:r>
      <w:hyperlink r:id="rId26">
        <w:r>
          <w:rPr>
            <w:rStyle w:val="Hyperlink"/>
          </w:rPr>
          <w:t xml:space="preserve">https://learn.microsoft.com/graph/identity-governance-pim-rules-overview</w:t>
        </w:r>
      </w:hyperlink>
      <w:r>
        <w:t xml:space="preserve"> </w:t>
      </w:r>
      <w:r>
        <w:t xml:space="preserve">(accessed Oct 20, 2026).</w:t>
      </w:r>
    </w:p>
  </w:footnote>
  <w:footnote w:id="28">
    <w:p>
      <w:pPr>
        <w:pStyle w:val="FootnoteText"/>
      </w:pPr>
      <w:r>
        <w:rPr>
          <w:rStyle w:val="FootnoteReference"/>
        </w:rPr>
        <w:footnoteRef/>
      </w:r>
      <w:r>
        <w:t xml:space="preserve"> </w:t>
      </w:r>
      <w:r>
        <w:t xml:space="preserve">Microsoft Learn,</w:t>
      </w:r>
      <w:r>
        <w:t xml:space="preserve"> </w:t>
      </w:r>
      <w:r>
        <w:t xml:space="preserve">“Privileged roles and permissions in Microsoft Entra ID (preview),”</w:t>
      </w:r>
      <w:r>
        <w:t xml:space="preserve"> </w:t>
      </w:r>
      <w:hyperlink r:id="rId29">
        <w:r>
          <w:rPr>
            <w:rStyle w:val="Hyperlink"/>
          </w:rPr>
          <w:t xml:space="preserve">https://learn.microsoft.com/entra/identity/role-based-access-control/privileged-roles-permissions</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“Privileged Identity Management (PIM) for Groups,”</w:t>
      </w:r>
      <w:r>
        <w:t xml:space="preserve"> </w:t>
      </w:r>
      <w:hyperlink r:id="rId32">
        <w:r>
          <w:rPr>
            <w:rStyle w:val="Hyperlink"/>
          </w:rPr>
          <w:t xml:space="preserve">https://learn.microsoft.com/entra/id-governance/privileged-identity-management/concept-pim-for-groups</w:t>
        </w:r>
      </w:hyperlink>
      <w:r>
        <w:t xml:space="preserve"> </w:t>
      </w:r>
      <w:r>
        <w:t xml:space="preserve">(accessed Oct 20, 2026).</w:t>
      </w:r>
    </w:p>
  </w:footnote>
  <w:footnote w:id="33">
    <w:p>
      <w:pPr>
        <w:pStyle w:val="FootnoteText"/>
      </w:pPr>
      <w:r>
        <w:rPr>
          <w:rStyle w:val="FootnoteReference"/>
        </w:rPr>
        <w:footnoteRef/>
      </w:r>
      <w:r>
        <w:t xml:space="preserve"> </w:t>
      </w:r>
      <w:r>
        <w:t xml:space="preserve">Microsoft Learn,</w:t>
      </w:r>
      <w:r>
        <w:t xml:space="preserve"> </w:t>
      </w:r>
      <w:r>
        <w:t xml:space="preserve">“Use Microsoft Entra groups to manage role assignments,”</w:t>
      </w:r>
      <w:r>
        <w:t xml:space="preserve"> </w:t>
      </w:r>
      <w:hyperlink r:id="rId34">
        <w:r>
          <w:rPr>
            <w:rStyle w:val="Hyperlink"/>
          </w:rPr>
          <w:t xml:space="preserve">https://learn.microsoft.com/entra/identity/role-based-access-control/groups-concept</w:t>
        </w:r>
      </w:hyperlink>
      <w:r>
        <w:t xml:space="preserve"> </w:t>
      </w:r>
      <w:r>
        <w:t xml:space="preserve">(accessed Oct 20, 2026).</w:t>
      </w:r>
    </w:p>
  </w:footnote>
  <w:footnote w:id="37">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16">
        <w:r>
          <w:rPr>
            <w:rStyle w:val="Hyperlink"/>
          </w:rPr>
          <w:t xml:space="preserve">https://learn.microsoft.com/entra/id-governance/privileged-identity-management/pim-how-to-change-default-settings</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hyperlink r:id="rId39">
        <w:r>
          <w:rPr>
            <w:rStyle w:val="Hyperlink"/>
          </w:rPr>
          <w:t xml:space="preserve">https://learn.microsoft.com/entra/identity/role-based-access-control/permissions-reference</w:t>
        </w:r>
      </w:hyperlink>
      <w:r>
        <w:t xml:space="preserve"> </w:t>
      </w:r>
      <w:r>
        <w:t xml:space="preserve">(accessed Oct 20, 2026).</w:t>
      </w:r>
    </w:p>
  </w:footnote>
  <w:footnote w:id="40">
    <w:p>
      <w:pPr>
        <w:pStyle w:val="FootnoteText"/>
      </w:pPr>
      <w:r>
        <w:rPr>
          <w:rStyle w:val="FootnoteReference"/>
        </w:rPr>
        <w:footnoteRef/>
      </w:r>
      <w:r>
        <w:t xml:space="preserve"> </w:t>
      </w:r>
      <w:r>
        <w:t xml:space="preserve">Microsoft Learn,</w:t>
      </w:r>
      <w:r>
        <w:t xml:space="preserve"> </w:t>
      </w:r>
      <w:r>
        <w:t xml:space="preserve">“Use Microsoft Entra groups to manage role assignments,”</w:t>
      </w:r>
      <w:r>
        <w:t xml:space="preserve"> </w:t>
      </w:r>
      <w:hyperlink r:id="rId34">
        <w:r>
          <w:rPr>
            <w:rStyle w:val="Hyperlink"/>
          </w:rPr>
          <w:t xml:space="preserve">https://learn.microsoft.com/entra/identity/role-based-access-control/groups-concept</w:t>
        </w:r>
      </w:hyperlink>
      <w:r>
        <w:t xml:space="preserve"> </w:t>
      </w:r>
      <w:r>
        <w:t xml:space="preserve">(accessed Oct 20, 2026).</w:t>
      </w:r>
    </w:p>
  </w:footnote>
  <w:footnote w:id="42">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hyperlink r:id="rId39">
        <w:r>
          <w:rPr>
            <w:rStyle w:val="Hyperlink"/>
          </w:rPr>
          <w:t xml:space="preserve">https://learn.microsoft.com/entra/identity/role-based-access-control/permissions-reference</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“Configure Microsoft Entra role settings in Privileged Identity Management,”</w:t>
      </w:r>
      <w:r>
        <w:t xml:space="preserve"> </w:t>
      </w:r>
      <w:hyperlink r:id="rId16">
        <w:r>
          <w:rPr>
            <w:rStyle w:val="Hyperlink"/>
          </w:rPr>
          <w:t xml:space="preserve">https://learn.microsoft.com/entra/id-governance/privileged-identity-management/pim-how-to-change-default-settings</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“Email notifications in PIM,”</w:t>
      </w:r>
      <w:r>
        <w:t xml:space="preserve"> </w:t>
      </w:r>
      <w:hyperlink r:id="rId46">
        <w:r>
          <w:rPr>
            <w:rStyle w:val="Hyperlink"/>
          </w:rPr>
          <w:t xml:space="preserve">https://learn.microsoft.com/entra/id-governance/privileged-identity-management/pim-email-notifications</w:t>
        </w:r>
      </w:hyperlink>
      <w:r>
        <w:t xml:space="preserve"> </w:t>
      </w:r>
      <w:r>
        <w:t xml:space="preserve">(accessed Oct 20, 2026).</w:t>
      </w:r>
    </w:p>
  </w:footnote>
  <w:footnote w:id="50">
    <w:p>
      <w:pPr>
        <w:pStyle w:val="FootnoteText"/>
      </w:pPr>
      <w:r>
        <w:rPr>
          <w:rStyle w:val="FootnoteReference"/>
        </w:rPr>
        <w:footnoteRef/>
      </w:r>
      <w:r>
        <w:t xml:space="preserve"> </w:t>
      </w:r>
      <w:r>
        <w:t xml:space="preserve">Microsoft Learn,</w:t>
      </w:r>
      <w:r>
        <w:t xml:space="preserve"> </w:t>
      </w:r>
      <w:r>
        <w:t xml:space="preserve">“Create an access review of Azure resource and Microsoft Entra roles in PIM,”</w:t>
      </w:r>
      <w:r>
        <w:t xml:space="preserve"> </w:t>
      </w:r>
      <w:hyperlink r:id="rId51">
        <w:r>
          <w:rPr>
            <w:rStyle w:val="Hyperlink"/>
          </w:rPr>
          <w:t xml:space="preserve">https://learn.microsoft.com/entra/id-governance/privileged-identity-management/pim-create-roles-and-resource-roles-review</w:t>
        </w:r>
      </w:hyperlink>
      <w:r>
        <w:t xml:space="preserve"> </w:t>
      </w:r>
      <w:r>
        <w:t xml:space="preserve">(accessed Oct 20, 2026).</w:t>
      </w:r>
    </w:p>
  </w:footnote>
  <w:footnote w:id="54">
    <w:p>
      <w:pPr>
        <w:pStyle w:val="FootnoteText"/>
      </w:pPr>
      <w:r>
        <w:rPr>
          <w:rStyle w:val="FootnoteReference"/>
        </w:rPr>
        <w:footnoteRef/>
      </w:r>
      <w:r>
        <w:t xml:space="preserve"> </w:t>
      </w:r>
      <w:r>
        <w:t xml:space="preserve">Microsoft Learn,</w:t>
      </w:r>
      <w:r>
        <w:t xml:space="preserve"> </w:t>
      </w:r>
      <w:r>
        <w:t xml:space="preserve">“Create an access review of Azure resource and Microsoft Entra roles in PIM,”</w:t>
      </w:r>
      <w:r>
        <w:t xml:space="preserve"> </w:t>
      </w:r>
      <w:hyperlink r:id="rId51">
        <w:r>
          <w:rPr>
            <w:rStyle w:val="Hyperlink"/>
          </w:rPr>
          <w:t xml:space="preserve">https://learn.microsoft.com/entra/id-governance/privileged-identity-management/pim-create-roles-and-resource-roles-review</w:t>
        </w:r>
      </w:hyperlink>
      <w:r>
        <w:t xml:space="preserve"> </w:t>
      </w:r>
      <w:r>
        <w:t xml:space="preserve">(accessed Oct 20, 2026).</w:t>
      </w:r>
    </w:p>
  </w:footnote>
  <w:footnote w:id="56">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hyperlink r:id="rId39">
        <w:r>
          <w:rPr>
            <w:rStyle w:val="Hyperlink"/>
          </w:rPr>
          <w:t xml:space="preserve">https://learn.microsoft.com/entra/identity/role-based-access-control/permissions-reference</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“Privileged roles and permissions in Microsoft Entra ID (preview),”</w:t>
      </w:r>
      <w:r>
        <w:t xml:space="preserve"> </w:t>
      </w:r>
      <w:hyperlink r:id="rId29">
        <w:r>
          <w:rPr>
            <w:rStyle w:val="Hyperlink"/>
          </w:rPr>
          <w:t xml:space="preserve">https://learn.microsoft.com/entra/identity/role-based-access-control/privileged-roles-permissions</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58" Target="media/rId58.png" /><Relationship Type="http://schemas.openxmlformats.org/officeDocument/2006/relationships/hyperlink" Id="rId36" Target="../b02-identity/05-delegation-without-ous.md#role-assignment-matrix" TargetMode="External" /><Relationship Type="http://schemas.openxmlformats.org/officeDocument/2006/relationships/hyperlink" Id="rId13" Target="../b02-identity/09-building-the-entra-target.md#pim-configuration-standards" TargetMode="External" /><Relationship Type="http://schemas.openxmlformats.org/officeDocument/2006/relationships/hyperlink" Id="rId12" Target="04-privileged-roles-and-tiers.md" TargetMode="External" /><Relationship Type="http://schemas.openxmlformats.org/officeDocument/2006/relationships/hyperlink" Id="rId22" Target="04-privileged-roles-and-tiers.md#how-a-role-reaches-a-person" TargetMode="External" /><Relationship Type="http://schemas.openxmlformats.org/officeDocument/2006/relationships/hyperlink" Id="rId53" Target="04-privileged-roles-and-tiers.md#the-programs-privilege-tiers" TargetMode="External" /><Relationship Type="http://schemas.openxmlformats.org/officeDocument/2006/relationships/hyperlink" Id="rId14" Target="08-pim-self-request-with-approval.md" TargetMode="External" /><Relationship Type="http://schemas.openxmlformats.org/officeDocument/2006/relationships/hyperlink" Id="rId21" Target="08-pim-self-request-with-approval.md#step-2-build-the-authentication-context-and-its-policy" TargetMode="External" /><Relationship Type="http://schemas.openxmlformats.org/officeDocument/2006/relationships/hyperlink" Id="rId19" Target="08-pim-self-request-with-approval.md#step-4-configure-role-settings-with-microsoft-graph" TargetMode="External" /><Relationship Type="http://schemas.openxmlformats.org/officeDocument/2006/relationships/hyperlink" Id="rId47" Target="08-pim-self-request-with-approval.md#step-7-notifications-and-pim-alerts" TargetMode="External" /><Relationship Type="http://schemas.openxmlformats.org/officeDocument/2006/relationships/hyperlink" Id="rId49" Target="08-pim-self-request-with-approval.md#step-8-access-reviews-of-eligibility" TargetMode="External" /><Relationship Type="http://schemas.openxmlformats.org/officeDocument/2006/relationships/hyperlink" Id="rId20" Target="10-access-as-code-and-evidence.md" TargetMode="External" /><Relationship Type="http://schemas.openxmlformats.org/officeDocument/2006/relationships/hyperlink" Id="rId61" Target="appendix-a-conditional-access-templates.md" TargetMode="External" /><Relationship Type="http://schemas.openxmlformats.org/officeDocument/2006/relationships/hyperlink" Id="rId32" Target="https://learn.microsoft.com/entra/id-governance/privileged-identity-management/concept-pim-for-groups" TargetMode="External" /><Relationship Type="http://schemas.openxmlformats.org/officeDocument/2006/relationships/hyperlink" Id="rId18" Target="https://learn.microsoft.com/entra/id-governance/privileged-identity-management/pim-approval-workflow" TargetMode="External" /><Relationship Type="http://schemas.openxmlformats.org/officeDocument/2006/relationships/hyperlink" Id="rId51" Target="https://learn.microsoft.com/entra/id-governance/privileged-identity-management/pim-create-roles-and-resource-roles-review" TargetMode="External" /><Relationship Type="http://schemas.openxmlformats.org/officeDocument/2006/relationships/hyperlink" Id="rId46" Target="https://learn.microsoft.com/entra/id-governance/privileged-identity-management/pim-email-notifications" TargetMode="External" /><Relationship Type="http://schemas.openxmlformats.org/officeDocument/2006/relationships/hyperlink" Id="rId16" Target="https://learn.microsoft.com/entra/id-governance/privileged-identity-management/pim-how-to-change-default-settings" TargetMode="External" /><Relationship Type="http://schemas.openxmlformats.org/officeDocument/2006/relationships/hyperlink" Id="rId34" Target="https://learn.microsoft.com/entra/identity/role-based-access-control/groups-concept" TargetMode="External" /><Relationship Type="http://schemas.openxmlformats.org/officeDocument/2006/relationships/hyperlink" Id="rId39" Target="https://learn.microsoft.com/entra/identity/role-based-access-control/permissions-reference" TargetMode="External" /><Relationship Type="http://schemas.openxmlformats.org/officeDocument/2006/relationships/hyperlink" Id="rId29" Target="https://learn.microsoft.com/entra/identity/role-based-access-control/privileged-roles-permissions" TargetMode="External" /><Relationship Type="http://schemas.openxmlformats.org/officeDocument/2006/relationships/hyperlink" Id="rId26" Target="https://learn.microsoft.com/graph/identity-governance-pim-rules-overview" TargetMode="External" /><Relationship Type="http://schemas.openxmlformats.org/officeDocument/2006/relationships/hyperlink" Id="rId62" Target="index.md" TargetMode="External" /></Relationships>
</file>

<file path=word/_rels/footnotes.xml.rels><?xml version="1.0" encoding="UTF-8"?><Relationships xmlns="http://schemas.openxmlformats.org/package/2006/relationships"><Relationship Type="http://schemas.openxmlformats.org/officeDocument/2006/relationships/hyperlink" Id="rId36" Target="../b02-identity/05-delegation-without-ous.md#role-assignment-matrix" TargetMode="External" /><Relationship Type="http://schemas.openxmlformats.org/officeDocument/2006/relationships/hyperlink" Id="rId13" Target="../b02-identity/09-building-the-entra-target.md#pim-configuration-standards" TargetMode="External" /><Relationship Type="http://schemas.openxmlformats.org/officeDocument/2006/relationships/hyperlink" Id="rId12" Target="04-privileged-roles-and-tiers.md" TargetMode="External" /><Relationship Type="http://schemas.openxmlformats.org/officeDocument/2006/relationships/hyperlink" Id="rId22" Target="04-privileged-roles-and-tiers.md#how-a-role-reaches-a-person" TargetMode="External" /><Relationship Type="http://schemas.openxmlformats.org/officeDocument/2006/relationships/hyperlink" Id="rId53" Target="04-privileged-roles-and-tiers.md#the-programs-privilege-tiers" TargetMode="External" /><Relationship Type="http://schemas.openxmlformats.org/officeDocument/2006/relationships/hyperlink" Id="rId14" Target="08-pim-self-request-with-approval.md" TargetMode="External" /><Relationship Type="http://schemas.openxmlformats.org/officeDocument/2006/relationships/hyperlink" Id="rId21" Target="08-pim-self-request-with-approval.md#step-2-build-the-authentication-context-and-its-policy" TargetMode="External" /><Relationship Type="http://schemas.openxmlformats.org/officeDocument/2006/relationships/hyperlink" Id="rId19" Target="08-pim-self-request-with-approval.md#step-4-configure-role-settings-with-microsoft-graph" TargetMode="External" /><Relationship Type="http://schemas.openxmlformats.org/officeDocument/2006/relationships/hyperlink" Id="rId47" Target="08-pim-self-request-with-approval.md#step-7-notifications-and-pim-alerts" TargetMode="External" /><Relationship Type="http://schemas.openxmlformats.org/officeDocument/2006/relationships/hyperlink" Id="rId49" Target="08-pim-self-request-with-approval.md#step-8-access-reviews-of-eligibility" TargetMode="External" /><Relationship Type="http://schemas.openxmlformats.org/officeDocument/2006/relationships/hyperlink" Id="rId20" Target="10-access-as-code-and-evidence.md" TargetMode="External" /><Relationship Type="http://schemas.openxmlformats.org/officeDocument/2006/relationships/hyperlink" Id="rId61" Target="appendix-a-conditional-access-templates.md" TargetMode="External" /><Relationship Type="http://schemas.openxmlformats.org/officeDocument/2006/relationships/hyperlink" Id="rId32" Target="https://learn.microsoft.com/entra/id-governance/privileged-identity-management/concept-pim-for-groups" TargetMode="External" /><Relationship Type="http://schemas.openxmlformats.org/officeDocument/2006/relationships/hyperlink" Id="rId18" Target="https://learn.microsoft.com/entra/id-governance/privileged-identity-management/pim-approval-workflow" TargetMode="External" /><Relationship Type="http://schemas.openxmlformats.org/officeDocument/2006/relationships/hyperlink" Id="rId51" Target="https://learn.microsoft.com/entra/id-governance/privileged-identity-management/pim-create-roles-and-resource-roles-review" TargetMode="External" /><Relationship Type="http://schemas.openxmlformats.org/officeDocument/2006/relationships/hyperlink" Id="rId46" Target="https://learn.microsoft.com/entra/id-governance/privileged-identity-management/pim-email-notifications" TargetMode="External" /><Relationship Type="http://schemas.openxmlformats.org/officeDocument/2006/relationships/hyperlink" Id="rId16" Target="https://learn.microsoft.com/entra/id-governance/privileged-identity-management/pim-how-to-change-default-settings" TargetMode="External" /><Relationship Type="http://schemas.openxmlformats.org/officeDocument/2006/relationships/hyperlink" Id="rId34" Target="https://learn.microsoft.com/entra/identity/role-based-access-control/groups-concept" TargetMode="External" /><Relationship Type="http://schemas.openxmlformats.org/officeDocument/2006/relationships/hyperlink" Id="rId39" Target="https://learn.microsoft.com/entra/identity/role-based-access-control/permissions-reference" TargetMode="External" /><Relationship Type="http://schemas.openxmlformats.org/officeDocument/2006/relationships/hyperlink" Id="rId29" Target="https://learn.microsoft.com/entra/identity/role-based-access-control/privileged-roles-permissions" TargetMode="External" /><Relationship Type="http://schemas.openxmlformats.org/officeDocument/2006/relationships/hyperlink" Id="rId26" Target="https://learn.microsoft.com/graph/identity-governance-pim-rules-overview" TargetMode="External" /><Relationship Type="http://schemas.openxmlformats.org/officeDocument/2006/relationships/hyperlink" Id="rId62"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B — PIM Role Settings Reference</dc:title>
  <dc:creator/>
  <dc:description>The program’s Privileged Identity Management role settings for each Microsoft Entra administrative role: tier, maximum activation, approval and approvers, authentication context, justification, ticket, eligibility expiry and notification recipients, with role template IDs.</dc:description>
  <cp:keywords/>
  <dcterms:created xsi:type="dcterms:W3CDTF">2026-10-20T23:25:40Z</dcterms:created>
  <dcterms:modified xsi:type="dcterms:W3CDTF">2026-10-20T23:25:40Z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B04</vt:lpwstr>
  </property>
  <property fmtid="{D5CDD505-2E9C-101B-9397-08002B2CF9AE}" pid="5" name="doc-type">
    <vt:lpwstr>workbook-chapter</vt:lpwstr>
  </property>
  <property fmtid="{D5CDD505-2E9C-101B-9397-08002B2CF9AE}" pid="6" name="family">
    <vt:lpwstr>b04-access</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Appendix</vt:lpwstr>
  </property>
  <property fmtid="{D5CDD505-2E9C-101B-9397-08002B2CF9AE}" pid="14" name="series-order">
    <vt:lpwstr>91</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