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04 — Access &amp; Privilege</w:t>
      </w:r>
    </w:p>
    <w:p>
      <w:pPr>
        <w:pStyle w:val="Subtitle"/>
      </w:pPr>
      <w:r>
        <w:t xml:space="preserve">Conditional Access, privileged roles, applications and access governance: why every access decision is a policy decision, and how to run 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5" w:name="Xc6a0a271d6b14e3e9faf80877fc3c8bfb23b7b0"/>
    <w:p>
      <w:pPr>
        <w:pStyle w:val="Heading1"/>
      </w:pPr>
      <w:r>
        <w:t xml:space="preserve">Book 04 — Access &amp; Privilege: Every Access Decision Is a Policy Decision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consolidates the workbook’s access-plane pages (the Conditional Access policy library, PIM self-request with approval, the Conditional Access principles and their short companion pages) into one ordered book, and draws on the Federal Compliance books and the Help Desk guide for privileged access, application governance and access as code, which stay in place and are linked. Every external claim was checked against a primary source on October 20, 2026 and carries a footnote. The consolidated pages are kept in the repository’s</w:t>
            </w:r>
            <w:r>
              <w:t xml:space="preserve"> </w:t>
            </w:r>
            <w:hyperlink r:id="rId12">
              <w:r>
                <w:rPr>
                  <w:rStyle w:val="VerbatimChar"/>
                </w:rPr>
                <w:t xml:space="preserve">archive/b04-access/</w:t>
              </w:r>
            </w:hyperlink>
            <w:r>
              <w:t xml:space="preserve"> </w:t>
            </w:r>
            <w:r>
              <w:t xml:space="preserve">folder, and their old addresses forward to the chapters that replaced them.</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b04-access-bundle.docx</w:t>
              </w:r>
            </w:hyperlink>
            <w:r>
              <w:t xml:space="preserve">: the whole book as one Word document, regenerated on every site deploy.</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presentations/b04-access/</w:t>
              </w:r>
            </w:hyperlink>
            <w:r>
              <w:t xml:space="preserve">.</w:t>
            </w:r>
          </w:p>
          <w:p/>
        </w:tc>
      </w:tr>
    </w:tbl>
    <w:p>
      <w:pPr>
        <w:pStyle w:val="BodyText"/>
      </w:pPr>
      <w:r>
        <w:t xml:space="preserve">Zero Trust moves every access decision to a policy engine and makes it on every request. In Microsoft Entra ID that engine is Conditional Access: it reads who is signing in, from what device, to what, with what risk, and decides block, grant, or grant with conditions. Access that used to follow from group membership and network location now follows from policy, so the policy library becomes the agency’s access control in practice. The same is true of privilege. A standing administrator is an open door; an eligible one, activated just in time with approval and a fresh strong sign-in, is a decision made and recorded each time. This book is the policy, the privilege model and the governance that keep both honest.</w:t>
      </w:r>
    </w:p>
    <w:bookmarkStart w:id="30"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is every access decision a policy decision, and why does standing privilege fail?</w:t>
            </w:r>
          </w:p>
        </w:tc>
        <w:tc>
          <w:tcPr/>
          <w:p>
            <w:pPr>
              <w:pStyle w:val="Compact"/>
            </w:pPr>
            <w:hyperlink r:id="rId18">
              <w:r>
                <w:rPr>
                  <w:rStyle w:val="Hyperlink"/>
                </w:rPr>
                <w:t xml:space="preserve">01</w:t>
              </w:r>
            </w:hyperlink>
            <w:r>
              <w:t xml:space="preserve">,</w:t>
            </w:r>
            <w:r>
              <w:t xml:space="preserve"> </w:t>
            </w:r>
            <w:hyperlink r:id="rId19">
              <w:r>
                <w:rPr>
                  <w:rStyle w:val="Hyperlink"/>
                </w:rPr>
                <w:t xml:space="preserve">02</w:t>
              </w:r>
            </w:hyperlink>
          </w:p>
        </w:tc>
      </w:tr>
      <w:tr>
        <w:tc>
          <w:tcPr/>
          <w:p>
            <w:pPr>
              <w:pStyle w:val="Compact"/>
            </w:pPr>
            <w:r>
              <w:rPr>
                <w:b/>
                <w:bCs/>
              </w:rPr>
              <w:t xml:space="preserve">What</w:t>
            </w:r>
          </w:p>
        </w:tc>
        <w:tc>
          <w:tcPr/>
          <w:p>
            <w:pPr>
              <w:pStyle w:val="Compact"/>
            </w:pPr>
            <w:r>
              <w:t xml:space="preserve">What the policy engine evaluates, how privilege is structured, and how applications and workloads get access</w:t>
            </w:r>
          </w:p>
        </w:tc>
        <w:tc>
          <w:tcPr/>
          <w:p>
            <w:pPr>
              <w:pStyle w:val="Compact"/>
            </w:pPr>
            <w:hyperlink r:id="rId20">
              <w:r>
                <w:rPr>
                  <w:rStyle w:val="Hyperlink"/>
                </w:rPr>
                <w:t xml:space="preserve">03</w:t>
              </w:r>
            </w:hyperlink>
            <w:r>
              <w:t xml:space="preserve">,</w:t>
            </w:r>
            <w:r>
              <w:t xml:space="preserve"> </w:t>
            </w:r>
            <w:hyperlink r:id="rId21">
              <w:r>
                <w:rPr>
                  <w:rStyle w:val="Hyperlink"/>
                </w:rPr>
                <w:t xml:space="preserve">04</w:t>
              </w:r>
            </w:hyperlink>
            <w:r>
              <w:t xml:space="preserve">,</w:t>
            </w:r>
            <w:r>
              <w:t xml:space="preserve"> </w:t>
            </w:r>
            <w:hyperlink r:id="rId22">
              <w:r>
                <w:rPr>
                  <w:rStyle w:val="Hyperlink"/>
                </w:rPr>
                <w:t xml:space="preserve">05</w:t>
              </w:r>
            </w:hyperlink>
          </w:p>
        </w:tc>
      </w:tr>
      <w:tr>
        <w:tc>
          <w:tcPr/>
          <w:p>
            <w:pPr>
              <w:pStyle w:val="Compact"/>
            </w:pPr>
            <w:r>
              <w:rPr>
                <w:b/>
                <w:bCs/>
              </w:rPr>
              <w:t xml:space="preserve">Who</w:t>
            </w:r>
          </w:p>
        </w:tc>
        <w:tc>
          <w:tcPr/>
          <w:p>
            <w:pPr>
              <w:pStyle w:val="Compact"/>
            </w:pPr>
            <w:r>
              <w:t xml:space="preserve">Who decides access and who does the work</w:t>
            </w:r>
          </w:p>
        </w:tc>
        <w:tc>
          <w:tcPr/>
          <w:p>
            <w:pPr>
              <w:pStyle w:val="Compact"/>
            </w:pPr>
            <w:hyperlink r:id="rId23">
              <w:r>
                <w:rPr>
                  <w:rStyle w:val="Hyperlink"/>
                </w:rPr>
                <w:t xml:space="preserve">06</w:t>
              </w:r>
            </w:hyperlink>
          </w:p>
        </w:tc>
      </w:tr>
      <w:tr>
        <w:tc>
          <w:tcPr/>
          <w:p>
            <w:pPr>
              <w:pStyle w:val="Compact"/>
            </w:pPr>
            <w:r>
              <w:rPr>
                <w:b/>
                <w:bCs/>
              </w:rPr>
              <w:t xml:space="preserve">How</w:t>
            </w:r>
          </w:p>
        </w:tc>
        <w:tc>
          <w:tcPr/>
          <w:p>
            <w:pPr>
              <w:pStyle w:val="Compact"/>
            </w:pPr>
            <w:r>
              <w:t xml:space="preserve">The policy library, PIM with approval, access governance, and access as code with its evidence</w:t>
            </w:r>
          </w:p>
        </w:tc>
        <w:tc>
          <w:tcPr/>
          <w:p>
            <w:pPr>
              <w:pStyle w:val="Compact"/>
            </w:pPr>
            <w:hyperlink r:id="rId24">
              <w:r>
                <w:rPr>
                  <w:rStyle w:val="Hyperlink"/>
                </w:rPr>
                <w:t xml:space="preserve">07</w:t>
              </w:r>
            </w:hyperlink>
            <w:r>
              <w:t xml:space="preserve">,</w:t>
            </w:r>
            <w:r>
              <w:t xml:space="preserve"> </w:t>
            </w:r>
            <w:hyperlink r:id="rId25">
              <w:r>
                <w:rPr>
                  <w:rStyle w:val="Hyperlink"/>
                </w:rPr>
                <w:t xml:space="preserve">08</w:t>
              </w:r>
            </w:hyperlink>
            <w:r>
              <w:t xml:space="preserve">,</w:t>
            </w:r>
            <w:r>
              <w:t xml:space="preserve"> </w:t>
            </w:r>
            <w:hyperlink r:id="rId26">
              <w:r>
                <w:rPr>
                  <w:rStyle w:val="Hyperlink"/>
                </w:rPr>
                <w:t xml:space="preserve">09</w:t>
              </w:r>
            </w:hyperlink>
            <w:r>
              <w:t xml:space="preserve">,</w:t>
            </w:r>
            <w:r>
              <w:t xml:space="preserve"> </w:t>
            </w:r>
            <w:hyperlink r:id="rId27">
              <w:r>
                <w:rPr>
                  <w:rStyle w:val="Hyperlink"/>
                </w:rPr>
                <w:t xml:space="preserve">10</w:t>
              </w:r>
            </w:hyperlink>
          </w:p>
        </w:tc>
      </w:tr>
    </w:tbl>
    <w:p>
      <w:pPr>
        <w:pStyle w:val="BodyText"/>
      </w:pPr>
      <w:r>
        <w:t xml:space="preserve">Appendices:</w:t>
      </w:r>
      <w:r>
        <w:t xml:space="preserve"> </w:t>
      </w:r>
      <w:hyperlink r:id="rId28">
        <w:r>
          <w:rPr>
            <w:rStyle w:val="Hyperlink"/>
          </w:rPr>
          <w:t xml:space="preserve">A — Conditional Access policy templates</w:t>
        </w:r>
      </w:hyperlink>
      <w:r>
        <w:t xml:space="preserve"> </w:t>
      </w:r>
      <w:r>
        <w:t xml:space="preserve">·</w:t>
      </w:r>
      <w:r>
        <w:t xml:space="preserve"> </w:t>
      </w:r>
      <w:hyperlink r:id="rId29">
        <w:r>
          <w:rPr>
            <w:rStyle w:val="Hyperlink"/>
          </w:rPr>
          <w:t xml:space="preserve">B — PIM role settings reference</w:t>
        </w:r>
      </w:hyperlink>
    </w:p>
    <w:bookmarkEnd w:id="30"/>
    <w:bookmarkStart w:id="31"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10.</w:t>
      </w:r>
    </w:p>
    <w:p>
      <w:pPr>
        <w:pStyle w:val="Compact"/>
        <w:numPr>
          <w:ilvl w:val="0"/>
          <w:numId w:val="1001"/>
        </w:numPr>
      </w:pPr>
      <w:r>
        <w:rPr>
          <w:b/>
          <w:bCs/>
        </w:rPr>
        <w:t xml:space="preserve">Identity engineers:</w:t>
      </w:r>
      <w:r>
        <w:t xml:space="preserve"> </w:t>
      </w:r>
      <w:r>
        <w:t xml:space="preserve">Chapters 03–05, then 07–09 with both appendices at hand.</w:t>
      </w:r>
    </w:p>
    <w:bookmarkEnd w:id="31"/>
    <w:bookmarkStart w:id="42" w:name="where-this-book-sits-in-the-workbook"/>
    <w:p>
      <w:pPr>
        <w:pStyle w:val="Heading2"/>
      </w:pPr>
      <w:r>
        <w:t xml:space="preserve">Where this book sits in the workbook</w:t>
      </w:r>
    </w:p>
    <w:p>
      <w:pPr>
        <w:pStyle w:val="FirstParagraph"/>
      </w:pPr>
      <w:r>
        <w:t xml:space="preserve">This is Book 04 of the</w:t>
      </w:r>
      <w:r>
        <w:t xml:space="preserve"> </w:t>
      </w:r>
      <w:hyperlink r:id="rId32">
        <w:r>
          <w:rPr>
            <w:rStyle w:val="Hyperlink"/>
          </w:rPr>
          <w:t xml:space="preserve">Modernization Workbook</w:t>
        </w:r>
      </w:hyperlink>
      <w:r>
        <w:t xml:space="preserve">. It builds on</w:t>
      </w:r>
      <w:r>
        <w:t xml:space="preserve"> </w:t>
      </w:r>
      <w:hyperlink r:id="rId33">
        <w:r>
          <w:rPr>
            <w:rStyle w:val="Hyperlink"/>
          </w:rPr>
          <w:t xml:space="preserve">Book 02 — Identity &amp; Directory</w:t>
        </w:r>
      </w:hyperlink>
      <w:r>
        <w:t xml:space="preserve"> </w:t>
      </w:r>
      <w:r>
        <w:t xml:space="preserve">and</w:t>
      </w:r>
      <w:r>
        <w:t xml:space="preserve"> </w:t>
      </w:r>
      <w:hyperlink r:id="rId34">
        <w:r>
          <w:rPr>
            <w:rStyle w:val="Hyperlink"/>
          </w:rPr>
          <w:t xml:space="preserve">Book 03 — HR-Driven Identity</w:t>
        </w:r>
      </w:hyperlink>
      <w:r>
        <w:t xml:space="preserve">, whose attributes drive the policy targeting here, and it is the authoritative home of the Conditional Access library and the PIM settings that Book 02 introduces. For depth it links to the Federal Compliance books on</w:t>
      </w:r>
      <w:r>
        <w:t xml:space="preserve"> </w:t>
      </w:r>
      <w:hyperlink r:id="rId35">
        <w:r>
          <w:rPr>
            <w:rStyle w:val="Hyperlink"/>
          </w:rPr>
          <w:t xml:space="preserve">privileged access management</w:t>
        </w:r>
      </w:hyperlink>
      <w:r>
        <w:t xml:space="preserve">,</w:t>
      </w:r>
      <w:r>
        <w:t xml:space="preserve"> </w:t>
      </w:r>
      <w:hyperlink r:id="rId36">
        <w:r>
          <w:rPr>
            <w:rStyle w:val="Hyperlink"/>
          </w:rPr>
          <w:t xml:space="preserve">native cloud IAM</w:t>
        </w:r>
      </w:hyperlink>
      <w:r>
        <w:t xml:space="preserve">,</w:t>
      </w:r>
      <w:r>
        <w:t xml:space="preserve"> </w:t>
      </w:r>
      <w:hyperlink r:id="rId37">
        <w:r>
          <w:rPr>
            <w:rStyle w:val="Hyperlink"/>
          </w:rPr>
          <w:t xml:space="preserve">identity and access as code</w:t>
        </w:r>
      </w:hyperlink>
      <w:r>
        <w:t xml:space="preserve">,</w:t>
      </w:r>
      <w:r>
        <w:t xml:space="preserve"> </w:t>
      </w:r>
      <w:hyperlink r:id="rId38">
        <w:r>
          <w:rPr>
            <w:rStyle w:val="Hyperlink"/>
          </w:rPr>
          <w:t xml:space="preserve">identity and access governance</w:t>
        </w:r>
      </w:hyperlink>
      <w:r>
        <w:t xml:space="preserve"> </w:t>
      </w:r>
      <w:r>
        <w:t xml:space="preserve">and</w:t>
      </w:r>
      <w:r>
        <w:t xml:space="preserve"> </w:t>
      </w:r>
      <w:hyperlink r:id="rId39">
        <w:r>
          <w:rPr>
            <w:rStyle w:val="Hyperlink"/>
          </w:rPr>
          <w:t xml:space="preserve">app registration governance</w:t>
        </w:r>
      </w:hyperlink>
      <w:r>
        <w:t xml:space="preserve">, to the Help Desk guide on</w:t>
      </w:r>
      <w:r>
        <w:t xml:space="preserve"> </w:t>
      </w:r>
      <w:hyperlink r:id="rId40">
        <w:r>
          <w:rPr>
            <w:rStyle w:val="Hyperlink"/>
          </w:rPr>
          <w:t xml:space="preserve">enterprise application access</w:t>
        </w:r>
      </w:hyperlink>
      <w:r>
        <w:t xml:space="preserve">, and to the</w:t>
      </w:r>
      <w:r>
        <w:t xml:space="preserve"> </w:t>
      </w:r>
      <w:hyperlink r:id="rId41">
        <w:r>
          <w:rPr>
            <w:rStyle w:val="Hyperlink"/>
          </w:rPr>
          <w:t xml:space="preserve">Privileged Access project</w:t>
        </w:r>
      </w:hyperlink>
      <w:r>
        <w:t xml:space="preserve">.</w:t>
      </w:r>
    </w:p>
    <w:bookmarkEnd w:id="42"/>
    <w:bookmarkStart w:id="44" w:name="chapters"/>
    <w:p>
      <w:pPr>
        <w:pStyle w:val="Heading2"/>
      </w:pPr>
      <w:r>
        <w:t xml:space="preserve">Chapters</w:t>
      </w:r>
    </w:p>
    <w:bookmarkStart w:id="43" w:name="chapters"/>
    <w:bookmarkEnd w:id="43"/>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4-access-bundle.docx" TargetMode="External" /><Relationship Type="http://schemas.openxmlformats.org/officeDocument/2006/relationships/hyperlink" Id="rId35" Target="../../compliance/Vol_III_Book_01_Privileged_Access_Management.md" TargetMode="External" /><Relationship Type="http://schemas.openxmlformats.org/officeDocument/2006/relationships/hyperlink" Id="rId39" Target="../../compliance/Vol_IX_Book_03_App_Registration_Governance.md" TargetMode="External" /><Relationship Type="http://schemas.openxmlformats.org/officeDocument/2006/relationships/hyperlink" Id="rId38" Target="../../compliance/Vol_IX_Book_06_Identity_Access_Governance.md" TargetMode="External" /><Relationship Type="http://schemas.openxmlformats.org/officeDocument/2006/relationships/hyperlink" Id="rId36" Target="../../compliance/Vol_VII_Book_08_Native_IAM_RBAC_Access_Governance.md" TargetMode="External" /><Relationship Type="http://schemas.openxmlformats.org/officeDocument/2006/relationships/hyperlink" Id="rId37" Target="../../compliance/Vol_VI_Book_02_Identity_Access_as_Code.md" TargetMode="External" /><Relationship Type="http://schemas.openxmlformats.org/officeDocument/2006/relationships/hyperlink" Id="rId40" Target="../../operational-guides/helpdesk-entra-operations/enterprise-application-access-governance.md" TargetMode="External" /><Relationship Type="http://schemas.openxmlformats.org/officeDocument/2006/relationships/hyperlink" Id="rId41" Target="../../projects/privileged-access-charter.md" TargetMode="External" /><Relationship Type="http://schemas.openxmlformats.org/officeDocument/2006/relationships/hyperlink" Id="rId33" Target="../b02-identity/index.md" TargetMode="External" /><Relationship Type="http://schemas.openxmlformats.org/officeDocument/2006/relationships/hyperlink" Id="rId34" Target="../b03-hr-identity/index.md" TargetMode="External" /><Relationship Type="http://schemas.openxmlformats.org/officeDocument/2006/relationships/hyperlink" Id="rId32" Target="../index.md" TargetMode="External" /><Relationship Type="http://schemas.openxmlformats.org/officeDocument/2006/relationships/hyperlink" Id="rId18" Target="01-access-is-a-policy-decision.md" TargetMode="External" /><Relationship Type="http://schemas.openxmlformats.org/officeDocument/2006/relationships/hyperlink" Id="rId19" Target="02-why-standing-privilege-fails.md" TargetMode="External" /><Relationship Type="http://schemas.openxmlformats.org/officeDocument/2006/relationships/hyperlink" Id="rId20" Target="03-the-conditional-access-model.md" TargetMode="External" /><Relationship Type="http://schemas.openxmlformats.org/officeDocument/2006/relationships/hyperlink" Id="rId21" Target="04-privileged-roles-and-tiers.md" TargetMode="External" /><Relationship Type="http://schemas.openxmlformats.org/officeDocument/2006/relationships/hyperlink" Id="rId22" Target="05-applications-and-workload-identities.md" TargetMode="External" /><Relationship Type="http://schemas.openxmlformats.org/officeDocument/2006/relationships/hyperlink" Id="rId23" Target="06-who-decides-access.md" TargetMode="External" /><Relationship Type="http://schemas.openxmlformats.org/officeDocument/2006/relationships/hyperlink" Id="rId24" Target="07-the-conditional-access-policy-library.md" TargetMode="External" /><Relationship Type="http://schemas.openxmlformats.org/officeDocument/2006/relationships/hyperlink" Id="rId25" Target="08-pim-self-request-with-approval.md" TargetMode="External" /><Relationship Type="http://schemas.openxmlformats.org/officeDocument/2006/relationships/hyperlink" Id="rId26" Target="09-access-governance.md" TargetMode="External" /><Relationship Type="http://schemas.openxmlformats.org/officeDocument/2006/relationships/hyperlink" Id="rId27" Target="10-access-as-code-and-evidence.md" TargetMode="External" /><Relationship Type="http://schemas.openxmlformats.org/officeDocument/2006/relationships/hyperlink" Id="rId28" Target="appendix-a-conditional-access-templates.md" TargetMode="External" /><Relationship Type="http://schemas.openxmlformats.org/officeDocument/2006/relationships/hyperlink" Id="rId29" Target="appendix-b-pim-role-settings.md" TargetMode="External" /><Relationship Type="http://schemas.openxmlformats.org/officeDocument/2006/relationships/hyperlink" Id="rId12" Target="https://github.com/WhalerMike/modernization-workbook/tree/main/archive/b04-access" TargetMode="External" /><Relationship Type="http://schemas.openxmlformats.org/officeDocument/2006/relationships/hyperlink" Id="rId17" Target="https://github.com/WhalerMike/modernization-workbook/tree/main/presentations/b04-access"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4-access-bundle.docx" TargetMode="External" /><Relationship Type="http://schemas.openxmlformats.org/officeDocument/2006/relationships/hyperlink" Id="rId35" Target="../../compliance/Vol_III_Book_01_Privileged_Access_Management.md" TargetMode="External" /><Relationship Type="http://schemas.openxmlformats.org/officeDocument/2006/relationships/hyperlink" Id="rId39" Target="../../compliance/Vol_IX_Book_03_App_Registration_Governance.md" TargetMode="External" /><Relationship Type="http://schemas.openxmlformats.org/officeDocument/2006/relationships/hyperlink" Id="rId38" Target="../../compliance/Vol_IX_Book_06_Identity_Access_Governance.md" TargetMode="External" /><Relationship Type="http://schemas.openxmlformats.org/officeDocument/2006/relationships/hyperlink" Id="rId36" Target="../../compliance/Vol_VII_Book_08_Native_IAM_RBAC_Access_Governance.md" TargetMode="External" /><Relationship Type="http://schemas.openxmlformats.org/officeDocument/2006/relationships/hyperlink" Id="rId37" Target="../../compliance/Vol_VI_Book_02_Identity_Access_as_Code.md" TargetMode="External" /><Relationship Type="http://schemas.openxmlformats.org/officeDocument/2006/relationships/hyperlink" Id="rId40" Target="../../operational-guides/helpdesk-entra-operations/enterprise-application-access-governance.md" TargetMode="External" /><Relationship Type="http://schemas.openxmlformats.org/officeDocument/2006/relationships/hyperlink" Id="rId41" Target="../../projects/privileged-access-charter.md" TargetMode="External" /><Relationship Type="http://schemas.openxmlformats.org/officeDocument/2006/relationships/hyperlink" Id="rId33" Target="../b02-identity/index.md" TargetMode="External" /><Relationship Type="http://schemas.openxmlformats.org/officeDocument/2006/relationships/hyperlink" Id="rId34" Target="../b03-hr-identity/index.md" TargetMode="External" /><Relationship Type="http://schemas.openxmlformats.org/officeDocument/2006/relationships/hyperlink" Id="rId32" Target="../index.md" TargetMode="External" /><Relationship Type="http://schemas.openxmlformats.org/officeDocument/2006/relationships/hyperlink" Id="rId18" Target="01-access-is-a-policy-decision.md" TargetMode="External" /><Relationship Type="http://schemas.openxmlformats.org/officeDocument/2006/relationships/hyperlink" Id="rId19" Target="02-why-standing-privilege-fails.md" TargetMode="External" /><Relationship Type="http://schemas.openxmlformats.org/officeDocument/2006/relationships/hyperlink" Id="rId20" Target="03-the-conditional-access-model.md" TargetMode="External" /><Relationship Type="http://schemas.openxmlformats.org/officeDocument/2006/relationships/hyperlink" Id="rId21" Target="04-privileged-roles-and-tiers.md" TargetMode="External" /><Relationship Type="http://schemas.openxmlformats.org/officeDocument/2006/relationships/hyperlink" Id="rId22" Target="05-applications-and-workload-identities.md" TargetMode="External" /><Relationship Type="http://schemas.openxmlformats.org/officeDocument/2006/relationships/hyperlink" Id="rId23" Target="06-who-decides-access.md" TargetMode="External" /><Relationship Type="http://schemas.openxmlformats.org/officeDocument/2006/relationships/hyperlink" Id="rId24" Target="07-the-conditional-access-policy-library.md" TargetMode="External" /><Relationship Type="http://schemas.openxmlformats.org/officeDocument/2006/relationships/hyperlink" Id="rId25" Target="08-pim-self-request-with-approval.md" TargetMode="External" /><Relationship Type="http://schemas.openxmlformats.org/officeDocument/2006/relationships/hyperlink" Id="rId26" Target="09-access-governance.md" TargetMode="External" /><Relationship Type="http://schemas.openxmlformats.org/officeDocument/2006/relationships/hyperlink" Id="rId27" Target="10-access-as-code-and-evidence.md" TargetMode="External" /><Relationship Type="http://schemas.openxmlformats.org/officeDocument/2006/relationships/hyperlink" Id="rId28" Target="appendix-a-conditional-access-templates.md" TargetMode="External" /><Relationship Type="http://schemas.openxmlformats.org/officeDocument/2006/relationships/hyperlink" Id="rId29" Target="appendix-b-pim-role-settings.md" TargetMode="External" /><Relationship Type="http://schemas.openxmlformats.org/officeDocument/2006/relationships/hyperlink" Id="rId12" Target="https://github.com/WhalerMike/modernization-workbook/tree/main/archive/b04-access" TargetMode="External" /><Relationship Type="http://schemas.openxmlformats.org/officeDocument/2006/relationships/hyperlink" Id="rId17" Target="https://github.com/WhalerMike/modernization-workbook/tree/main/presentations/b04-acc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04 — Access &amp; Privilege</dc:title>
  <dc:creator/>
  <dc:description>Book 04 of the Modernization Workbook: why access is a policy decision and why standing privilege fails, the Conditional Access model, privileged roles and tiers, applications and workload identities, who decides access, the Conditional Access policy library, PIM self-request with approval, access governance, and access as code with the evidence it produces.</dc:description>
  <cp:keywords/>
  <dcterms:created xsi:type="dcterms:W3CDTF">2026-10-20T23:25:41Z</dcterms:created>
  <dcterms:modified xsi:type="dcterms:W3CDTF">2026-10-20T23:25:41Z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section-landing</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Conditional Access, privileged roles, applications and access governance: why every access decision is a policy decision, and how to run it</vt:lpwstr>
  </property>
  <property fmtid="{D5CDD505-2E9C-101B-9397-08002B2CF9AE}" pid="15" name="tiers_adopted">
    <vt:lpwstr/>
  </property>
  <property fmtid="{D5CDD505-2E9C-101B-9397-08002B2CF9AE}" pid="16" name="toc-title">
    <vt:lpwstr>Table of contents</vt:lpwstr>
  </property>
</Properties>
</file>