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3.svg" ContentType="image/svg+xml"/>
  <Override PartName="/word/media/rId30.svg" ContentType="image/svg+xml"/>
  <Override PartName="/word/media/rId12.png" ContentType="image/png"/>
  <Override PartName="/word/media/rId9.png" ContentType="image/png"/>
  <Override PartName="/word/media/rId111.png" ContentType="image/png"/>
  <Override PartName="/word/media/rId5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Intune-First Onboarding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6" w:name="chapter-04-intune-first-onboarding"/>
    <w:p>
      <w:pPr>
        <w:pStyle w:val="Heading1"/>
      </w:pPr>
      <w:r>
        <w:t xml:space="preserve">Chapter 04 — Intune-First Onboarding</w:t>
      </w:r>
    </w:p>
    <w:p>
      <w:pPr>
        <w:pStyle w:val="FirstParagraph"/>
      </w:pPr>
      <w:r>
        <w:rPr>
          <w:i/>
          <w:iCs/>
        </w:rPr>
        <w:t xml:space="preserve">Migration brings an existing device under governance; Intune-first refuses to let an ungoverned device exist in the first place.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doctrine for devices that have never been on the network: what Intune-first means, its five pillars and three exception paths, and the five-phase process that carries an organizational assignment from the purchase order to a validated, compliant device. The Windows mechanics in detail (Windows Autopilot versus Autopilot device preparation, registration and group tags, enrollment restrictions, naming, the Enrollment Status Page, and the compliance and configuration baseline), then the other platforms, and the drift classes that catch a device that slipped through.</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net-new devices only</w:t>
            </w:r>
          </w:p>
        </w:tc>
      </w:tr>
      <w:tr>
        <w:trPr>
          <w:cantSplit/>
        </w:trPr>
        <w:tc>
          <w:tcPr>
            <w:tcMar>
              <w:top w:w="108" w:type="dxa"/>
              <w:bottom w:w="108" w:type="dxa"/>
            </w:tcMar>
          </w:tcPr>
          <w:p>
            <w:pPr>
              <w:pStyle w:val="BodyText"/>
            </w:pPr>
            <w:pPr>
              <w:spacing w:before="16" w:after="16"/>
            </w:pPr>
            <w:r>
              <w:t xml:space="preserve">This chapter covers devices the organization buys after the modernization decision. Replacing Group Policy on the existing fleet is a different program, with different stakeholders and a different timeline: the GPO Sunset Program in</w:t>
            </w:r>
            <w:r>
              <w:t xml:space="preserve"> </w:t>
            </w:r>
            <w:hyperlink r:id="rId15">
              <w:r>
                <w:rPr>
                  <w:rStyle w:val="Hyperlink"/>
                </w:rPr>
                <w:t xml:space="preserve">Chapter 07</w:t>
              </w:r>
            </w:hyperlink>
            <w:r>
              <w:t xml:space="preserve"> </w:t>
            </w:r>
            <w:r>
              <w:t xml:space="preserve">and</w:t>
            </w:r>
            <w:r>
              <w:t xml:space="preserve"> </w:t>
            </w:r>
            <w:hyperlink r:id="rId16">
              <w:r>
                <w:rPr>
                  <w:rStyle w:val="Hyperlink"/>
                </w:rPr>
                <w:t xml:space="preserve">Chapter 08</w:t>
              </w:r>
            </w:hyperlink>
            <w:r>
              <w:t xml:space="preserve">. The program reserves the phrase</w:t>
            </w:r>
            <w:r>
              <w:t xml:space="preserve"> </w:t>
            </w:r>
            <w:r>
              <w:t xml:space="preserve">“Intune-first”</w:t>
            </w:r>
            <w:r>
              <w:t xml:space="preserve"> </w:t>
            </w:r>
            <w:r>
              <w:t xml:space="preserve">for this net-new doctrine and doesn’t use it for the GPO replacement work. Servers follow the same doctrine through Azure Arc, and their mechanics are in</w:t>
            </w:r>
            <w:r>
              <w:t xml:space="preserve"> </w:t>
            </w:r>
            <w:hyperlink r:id="rId17">
              <w:r>
                <w:rPr>
                  <w:rStyle w:val="Hyperlink"/>
                </w:rPr>
                <w:t xml:space="preserve">Chapter 09</w:t>
              </w:r>
            </w:hyperlink>
            <w:r>
              <w:t xml:space="preserve">.</w:t>
            </w:r>
          </w:p>
          <w:p/>
        </w:tc>
      </w:tr>
    </w:tbl>
    <w:bookmarkStart w:id="22" w:name="what-intune-first-means"/>
    <w:p>
      <w:pPr>
        <w:pStyle w:val="Heading2"/>
      </w:pPr>
      <w:r>
        <w:t xml:space="preserve">What Intune-first means</w:t>
      </w:r>
    </w:p>
    <w:p>
      <w:pPr>
        <w:pStyle w:val="FirstParagraph"/>
      </w:pPr>
      <w:r>
        <w:t xml:space="preserve">A net-new asset (a laptop just unboxed, a phone just issued, a server just racked) is governed from the moment it first powers on: by Intune for endpoints, and by Azure Arc into the same governance plane for servers. There is no intermediate state where the device:</w:t>
      </w:r>
    </w:p>
    <w:p>
      <w:pPr>
        <w:pStyle w:val="Compact"/>
        <w:numPr>
          <w:ilvl w:val="0"/>
          <w:numId w:val="1001"/>
        </w:numPr>
      </w:pPr>
      <w:r>
        <w:t xml:space="preserve">joins on-premises Active Directory and waits for a future migration;</w:t>
      </w:r>
    </w:p>
    <w:p>
      <w:pPr>
        <w:pStyle w:val="Compact"/>
        <w:numPr>
          <w:ilvl w:val="0"/>
          <w:numId w:val="1001"/>
        </w:numPr>
      </w:pPr>
      <w:r>
        <w:t xml:space="preserve">is provisioned by Configuration Manager and co-managed later;</w:t>
      </w:r>
    </w:p>
    <w:p>
      <w:pPr>
        <w:pStyle w:val="Compact"/>
        <w:numPr>
          <w:ilvl w:val="0"/>
          <w:numId w:val="1001"/>
        </w:numPr>
      </w:pPr>
      <w:r>
        <w:t xml:space="preserve">runs without an organizational assignment;</w:t>
      </w:r>
    </w:p>
    <w:p>
      <w:pPr>
        <w:pStyle w:val="Compact"/>
        <w:numPr>
          <w:ilvl w:val="0"/>
          <w:numId w:val="1001"/>
        </w:numPr>
      </w:pPr>
      <w:r>
        <w:t xml:space="preserve">enters production without a compliance evaluation; or</w:t>
      </w:r>
    </w:p>
    <w:p>
      <w:pPr>
        <w:pStyle w:val="Compact"/>
        <w:numPr>
          <w:ilvl w:val="0"/>
          <w:numId w:val="1001"/>
        </w:numPr>
      </w:pPr>
      <w:r>
        <w:t xml:space="preserve">skips the procurement-side step that records its organizational position.</w:t>
      </w:r>
    </w:p>
    <w:p>
      <w:pPr>
        <w:pStyle w:val="FirstParagraph"/>
      </w:pPr>
      <w:r>
        <w:t xml:space="preserve">That’s the inverse of the directory migration path in Book 02 (</w:t>
      </w:r>
      <w:hyperlink r:id="rId18">
        <w:r>
          <w:rPr>
            <w:rStyle w:val="Hyperlink"/>
          </w:rPr>
          <w:t xml:space="preserve">Chapter 04 of Book 02</w:t>
        </w:r>
      </w:hyperlink>
      <w:r>
        <w:t xml:space="preserve">). Migration takes a device that already exists and brings it under governance. Intune-first refuses the existence of an ungoverned device.</w:t>
      </w:r>
    </w:p>
    <w:p>
      <w:pPr>
        <w:pStyle w:val="BodyText"/>
      </w:pPr>
      <w:r>
        <w:t xml:space="preserve">It’s also where Microsoft points new hardware. Microsoft describes hybrid join as an interim step on the road to Entra join,</w:t>
      </w:r>
      <w:r>
        <w:rPr>
          <w:rStyle w:val="FootnoteReference"/>
        </w:rPr>
        <w:footnoteReference w:id="19"/>
      </w:r>
      <w:r>
        <w:t xml:space="preserve"> </w:t>
      </w:r>
      <w:r>
        <w:t xml:space="preserve">and its join guidance makes Entra join the default for new, refurbished or reset Windows devices (</w:t>
      </w:r>
      <w:hyperlink r:id="rId21">
        <w:r>
          <w:rPr>
            <w:rStyle w:val="Hyperlink"/>
          </w:rPr>
          <w:t xml:space="preserve">Chapter 02</w:t>
        </w:r>
      </w:hyperlink>
      <w:r>
        <w:t xml:space="preserve">).</w:t>
      </w:r>
    </w:p>
    <w:bookmarkEnd w:id="22"/>
    <w:bookmarkStart w:id="23" w:name="why-the-doctrine-exists"/>
    <w:p>
      <w:pPr>
        <w:pStyle w:val="Heading2"/>
      </w:pPr>
      <w:r>
        <w:t xml:space="preserve">Why the doctrine exists</w:t>
      </w:r>
    </w:p>
    <w:p>
      <w:pPr>
        <w:pStyle w:val="FirstParagraph"/>
      </w:pPr>
      <w:r>
        <w:t xml:space="preserve">The program already had a mature canon for migrating AD-joined endpoints into Entra ID and Intune. It had no operating doctrine for devices bought new. Without one, net-new acquisition followed an implicit pattern with three failure modes:</w:t>
      </w:r>
    </w:p>
    <w:p>
      <w:pPr>
        <w:pStyle w:val="Compact"/>
        <w:numPr>
          <w:ilvl w:val="0"/>
          <w:numId w:val="1002"/>
        </w:numPr>
      </w:pPr>
      <w:r>
        <w:rPr>
          <w:b/>
          <w:bCs/>
        </w:rPr>
        <w:t xml:space="preserve">Organizational assignment was missed at procurement.</w:t>
      </w:r>
      <w:r>
        <w:t xml:space="preserve"> </w:t>
      </w:r>
      <w:r>
        <w:t xml:space="preserve">Devices ended up wherever a runtime script that derived position from the user placed them, not where procurement intended.</w:t>
      </w:r>
    </w:p>
    <w:p>
      <w:pPr>
        <w:pStyle w:val="Compact"/>
        <w:numPr>
          <w:ilvl w:val="0"/>
          <w:numId w:val="1002"/>
        </w:numPr>
      </w:pPr>
      <w:r>
        <w:rPr>
          <w:b/>
          <w:bCs/>
        </w:rPr>
        <w:t xml:space="preserve">Platforms were handled inconsistently.</w:t>
      </w:r>
      <w:r>
        <w:t xml:space="preserve"> </w:t>
      </w:r>
      <w:r>
        <w:t xml:space="preserve">Windows had Autopilot; macOS, iOS, Android and servers each had bespoke handling.</w:t>
      </w:r>
    </w:p>
    <w:p>
      <w:pPr>
        <w:pStyle w:val="Compact"/>
        <w:numPr>
          <w:ilvl w:val="0"/>
          <w:numId w:val="1002"/>
        </w:numPr>
      </w:pPr>
      <w:r>
        <w:rPr>
          <w:b/>
          <w:bCs/>
        </w:rPr>
        <w:t xml:space="preserve">Co-management crept in.</w:t>
      </w:r>
      <w:r>
        <w:t xml:space="preserve"> </w:t>
      </w:r>
      <w:r>
        <w:t xml:space="preserve">Net-new Windows endpoints sometimes went into Configuration Manager co-management because it was convenient. Each one was a future migration ticket and a present compliance gap.</w:t>
      </w:r>
    </w:p>
    <w:bookmarkEnd w:id="23"/>
    <w:bookmarkStart w:id="28" w:name="the-five-pillars"/>
    <w:p>
      <w:pPr>
        <w:pStyle w:val="Heading2"/>
      </w:pPr>
      <w:r>
        <w:t xml:space="preserve">The five pillars</w:t>
      </w:r>
    </w:p>
    <w:p>
      <w:pPr>
        <w:pStyle w:val="FirstParagraph"/>
      </w:pPr>
      <w:r>
        <w:t xml:space="preserve">These are the program’s doctrine, not Microsoft requirements.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Pillar</w:t>
            </w:r>
          </w:p>
        </w:tc>
        <w:tc>
          <w:tcPr/>
          <w:p>
            <w:pPr>
              <w:pStyle w:val="Compact"/>
            </w:pPr>
            <w:r>
              <w:t xml:space="preserve">What it asserts</w:t>
            </w:r>
          </w:p>
        </w:tc>
      </w:tr>
      <w:tr>
        <w:tc>
          <w:tcPr/>
          <w:p>
            <w:pPr>
              <w:pStyle w:val="Compact"/>
            </w:pPr>
            <w:r>
              <w:t xml:space="preserve">1</w:t>
            </w:r>
          </w:p>
        </w:tc>
        <w:tc>
          <w:tcPr/>
          <w:p>
            <w:pPr>
              <w:pStyle w:val="Compact"/>
            </w:pPr>
            <w:r>
              <w:t xml:space="preserve">No ungoverned device, ever</w:t>
            </w:r>
          </w:p>
        </w:tc>
        <w:tc>
          <w:tcPr/>
          <w:p>
            <w:pPr>
              <w:pStyle w:val="Compact"/>
            </w:pPr>
            <w:r>
              <w:t xml:space="preserve">Every asset is governance-enrolled before it moves to production use. Quarantine (</w:t>
            </w:r>
            <w:r>
              <w:rPr>
                <w:rStyle w:val="VerbatimChar"/>
              </w:rPr>
              <w:t xml:space="preserve">/UNPOSITIONED</w:t>
            </w:r>
            <w:r>
              <w:t xml:space="preserve">) is the safety valve, not the steady state.</w:t>
            </w:r>
          </w:p>
        </w:tc>
      </w:tr>
      <w:tr>
        <w:tc>
          <w:tcPr/>
          <w:p>
            <w:pPr>
              <w:pStyle w:val="Compact"/>
            </w:pPr>
            <w:r>
              <w:t xml:space="preserve">2</w:t>
            </w:r>
          </w:p>
        </w:tc>
        <w:tc>
          <w:tcPr/>
          <w:p>
            <w:pPr>
              <w:pStyle w:val="Compact"/>
            </w:pPr>
            <w:r>
              <w:t xml:space="preserve">Procurement is the first governance step</w:t>
            </w:r>
          </w:p>
        </w:tc>
        <w:tc>
          <w:tcPr/>
          <w:p>
            <w:pPr>
              <w:pStyle w:val="Compact"/>
            </w:pPr>
            <w:r>
              <w:t xml:space="preserve">The organizational assignment is set when the purchase order is issued, not when the device arrives. Procurement systems feed the governance pipeline the way HR systems feed user provisioning.</w:t>
            </w:r>
          </w:p>
        </w:tc>
      </w:tr>
      <w:tr>
        <w:tc>
          <w:tcPr/>
          <w:p>
            <w:pPr>
              <w:pStyle w:val="Compact"/>
            </w:pPr>
            <w:r>
              <w:t xml:space="preserve">3</w:t>
            </w:r>
          </w:p>
        </w:tc>
        <w:tc>
          <w:tcPr/>
          <w:p>
            <w:pPr>
              <w:pStyle w:val="Compact"/>
            </w:pPr>
            <w:r>
              <w:t xml:space="preserve">Zero-touch only</w:t>
            </w:r>
          </w:p>
        </w:tc>
        <w:tc>
          <w:tcPr/>
          <w:p>
            <w:pPr>
              <w:pStyle w:val="Compact"/>
            </w:pPr>
            <w:r>
              <w:t xml:space="preserve">Manual enrollment is a controlled exception that needs written justification, compensating controls, a finite duration and an audit entry.</w:t>
            </w:r>
          </w:p>
        </w:tc>
      </w:tr>
      <w:tr>
        <w:tc>
          <w:tcPr/>
          <w:p>
            <w:pPr>
              <w:pStyle w:val="Compact"/>
            </w:pPr>
            <w:r>
              <w:t xml:space="preserve">4</w:t>
            </w:r>
          </w:p>
        </w:tc>
        <w:tc>
          <w:tcPr/>
          <w:p>
            <w:pPr>
              <w:pStyle w:val="Compact"/>
            </w:pPr>
            <w:r>
              <w:t xml:space="preserve">One management plane per asset; no co-management for new assets</w:t>
            </w:r>
          </w:p>
        </w:tc>
        <w:tc>
          <w:tcPr/>
          <w:p>
            <w:pPr>
              <w:pStyle w:val="Compact"/>
            </w:pPr>
            <w:r>
              <w:t xml:space="preserve">Intune for endpoints. Azure Arc with Azure Policy machine configuration for servers. No greenfield Configuration Manager, no greenfield Group Policy, no greenfield hybrid join.</w:t>
            </w:r>
          </w:p>
        </w:tc>
      </w:tr>
      <w:tr>
        <w:tc>
          <w:tcPr/>
          <w:p>
            <w:pPr>
              <w:pStyle w:val="Compact"/>
            </w:pPr>
            <w:r>
              <w:t xml:space="preserve">5</w:t>
            </w:r>
          </w:p>
        </w:tc>
        <w:tc>
          <w:tcPr/>
          <w:p>
            <w:pPr>
              <w:pStyle w:val="Compact"/>
            </w:pPr>
            <w:r>
              <w:t xml:space="preserve">Quarantine on failure; never silently degrade</w:t>
            </w:r>
          </w:p>
        </w:tc>
        <w:tc>
          <w:tcPr/>
          <w:p>
            <w:pPr>
              <w:pStyle w:val="Compact"/>
            </w:pPr>
            <w:r>
              <w:t xml:space="preserve">An onboarding failure produces a quarantine entry and a governance ticket, never a production device running in a degraded state.</w:t>
            </w:r>
          </w:p>
        </w:tc>
      </w:tr>
    </w:tbl>
    <w:p>
      <w:pPr>
        <w:pStyle w:val="BodyText"/>
      </w:pPr>
      <w:r>
        <w:t xml:space="preserve">Pillar 4 is corrected from the source, which paired Arc with the Intune Settings Catalog for servers. Intune’s supported platforms don’t include Windows Server,</w:t>
      </w:r>
      <w:r>
        <w:rPr>
          <w:rStyle w:val="FootnoteReference"/>
        </w:rPr>
        <w:footnoteReference w:id="24"/>
      </w:r>
      <w:r>
        <w:t xml:space="preserve"> </w:t>
      </w:r>
      <w:r>
        <w:t xml:space="preserve">so the Settings Catalog doesn’t reach a server. Server configuration is set by Azure Policy machine configuration, and Intune endpoint security policies reach servers only through Defender for Endpoint security settings management (</w:t>
      </w:r>
      <w:hyperlink r:id="rId17">
        <w:r>
          <w:rPr>
            <w:rStyle w:val="Hyperlink"/>
          </w:rPr>
          <w:t xml:space="preserve">Chapter 09</w:t>
        </w:r>
      </w:hyperlink>
      <w:r>
        <w:t xml:space="preserve">).</w:t>
      </w:r>
      <w:r>
        <w:rPr>
          <w:rStyle w:val="FootnoteReference"/>
        </w:rPr>
        <w:footnoteReference w:id="26"/>
      </w:r>
    </w:p>
    <w:bookmarkEnd w:id="28"/>
    <w:bookmarkStart w:id="29" w:name="X88fbadc758fcaf37cd37e3f46d9464e93580110"/>
    <w:p>
      <w:pPr>
        <w:pStyle w:val="Heading2"/>
      </w:pPr>
      <w:r>
        <w:t xml:space="preserve">Where the organizational assignment comes from</w:t>
      </w:r>
    </w:p>
    <w:p>
      <w:pPr>
        <w:pStyle w:val="FirstParagraph"/>
      </w:pPr>
      <w:r>
        <w:t xml:space="preserve">Every enrolled device carries a governance attribute. The program fills it from the first source that can supply one, in this order:</w:t>
      </w:r>
    </w:p>
    <w:p>
      <w:pPr>
        <w:pStyle w:val="Compact"/>
        <w:numPr>
          <w:ilvl w:val="0"/>
          <w:numId w:val="1003"/>
        </w:numPr>
      </w:pPr>
      <w:r>
        <w:rPr>
          <w:b/>
          <w:bCs/>
        </w:rPr>
        <w:t xml:space="preserve">The procurement record.</w:t>
      </w:r>
      <w:r>
        <w:t xml:space="preserve"> </w:t>
      </w:r>
      <w:r>
        <w:t xml:space="preserve">The organization decided to buy the asset for a specific purpose and place.</w:t>
      </w:r>
    </w:p>
    <w:p>
      <w:pPr>
        <w:pStyle w:val="Compact"/>
        <w:numPr>
          <w:ilvl w:val="0"/>
          <w:numId w:val="1003"/>
        </w:numPr>
      </w:pPr>
      <w:r>
        <w:rPr>
          <w:b/>
          <w:bCs/>
        </w:rPr>
        <w:t xml:space="preserve">The vendor or program carrier.</w:t>
      </w:r>
      <w:r>
        <w:t xml:space="preserve"> </w:t>
      </w:r>
      <w:r>
        <w:t xml:space="preserve">The supplier or enrollment program carries the intended attributes, such as an Autopilot group tag or an Apple Business Manager assignment.</w:t>
      </w:r>
    </w:p>
    <w:p>
      <w:pPr>
        <w:pStyle w:val="Compact"/>
        <w:numPr>
          <w:ilvl w:val="0"/>
          <w:numId w:val="1003"/>
        </w:numPr>
      </w:pPr>
      <w:r>
        <w:rPr>
          <w:b/>
          <w:bCs/>
        </w:rPr>
        <w:t xml:space="preserve">User derivation.</w:t>
      </w:r>
      <w:r>
        <w:t xml:space="preserve"> </w:t>
      </w:r>
      <w:r>
        <w:t xml:space="preserve">The fallback when no procurement record exists, such as personally owned devices or historical inventory.</w:t>
      </w:r>
    </w:p>
    <w:p>
      <w:pPr>
        <w:pStyle w:val="Compact"/>
        <w:numPr>
          <w:ilvl w:val="0"/>
          <w:numId w:val="1003"/>
        </w:numPr>
      </w:pPr>
      <w:r>
        <w:rPr>
          <w:b/>
          <w:bCs/>
        </w:rPr>
        <w:t xml:space="preserve">Unpositioned.</w:t>
      </w:r>
      <w:r>
        <w:t xml:space="preserve"> </w:t>
      </w:r>
      <w:r>
        <w:t xml:space="preserve">An explicit marker when nothing can supply a value. No enrolled device carries an empty governance attribute.</w:t>
      </w:r>
    </w:p>
    <w:p>
      <w:pPr>
        <w:pStyle w:val="FirstParagraph"/>
      </w:pPr>
      <w:r>
        <w:t xml:space="preserve">Procurement-first ordering gives three properties. It’s deterministic: the attribute reflects the purchase decision, not the technician who powered the device on. It’s auditable: there’s a chain of custody from purchase order to production. And it covers devices with no user: shared and self-deploying devices are stamped correctly before anyone signs in. The unpositioned marker keeps dynamic group membership and drift detection deterministic from day zero, because a known</w:t>
      </w:r>
      <w:r>
        <w:t xml:space="preserve"> </w:t>
      </w:r>
      <w:r>
        <w:t xml:space="preserve">“nowhere”</w:t>
      </w:r>
      <w:r>
        <w:t xml:space="preserve"> </w:t>
      </w:r>
      <w:r>
        <w:t xml:space="preserve">is still a value a rule can match.</w:t>
      </w:r>
    </w:p>
    <w:bookmarkEnd w:id="29"/>
    <w:bookmarkStart w:id="37" w:name="the-five-phase-process"/>
    <w:p>
      <w:pPr>
        <w:pStyle w:val="Heading2"/>
      </w:pPr>
      <w:r>
        <w:t xml:space="preserve">The five-phase process</w:t>
      </w:r>
    </w:p>
    <w:p>
      <w:pPr>
        <w:pStyle w:val="FirstParagraph"/>
      </w:pPr>
      <w:r>
        <w:t xml:space="preserve">Every net-new asset follows the same five phases, whatever the platform. What changes per platform is the vendor program used in phase 2 and the enrollment vector used in phase 4.</w:t>
      </w:r>
    </w:p>
    <w:tbl>
      <w:tblPr>
        <w:tblStyle w:val="Table"/>
        <w:tblW w:type="pct" w:w="5000"/>
        <w:tblLayout w:type="fixed"/>
        <w:tblLook w:firstRow="0" w:lastRow="0" w:firstColumn="0" w:lastColumn="0" w:noHBand="0" w:noVBand="0" w:val="0000"/>
      </w:tblPr>
      <w:tblGrid>
        <w:gridCol w:w="7920"/>
      </w:tblGrid>
      <w:tr>
        <w:tc>
          <w:tcPr/>
          <w:bookmarkStart w:id="33" w:name="fig-ch04-five-phases"/>
          <w:p>
            <w:pPr>
              <w:pStyle w:val="Compact"/>
              <w:jc w:val="center"/>
            </w:pPr>
            <w:r>
              <w:drawing>
                <wp:inline>
                  <wp:extent cx="5334000" cy="5418801"/>
                  <wp:effectExtent b="0" l="0" r="0" t="0"/>
                  <wp:docPr descr="" title="" id="31" name="Picture"/>
                  <a:graphic>
                    <a:graphicData uri="http://schemas.openxmlformats.org/drawingml/2006/picture">
                      <pic:pic>
                        <pic:nvPicPr>
                          <pic:cNvPr descr="../../images/diagrams/b05-devices/svg/ch04-five-phases.sv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5334000" cy="541880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Five phases carry the organizational assignment from the purchase order to a validated device; a failure at any gate quarantines the device instead of degrading it.</w:t>
            </w:r>
          </w:p>
          <w:bookmarkEnd w:id="33"/>
        </w:tc>
      </w:tr>
    </w:tbl>
    <w:p>
      <w:pPr>
        <w:pStyle w:val="BodyText"/>
      </w:pP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Phase</w:t>
            </w:r>
          </w:p>
        </w:tc>
        <w:tc>
          <w:tcPr/>
          <w:p>
            <w:pPr>
              <w:pStyle w:val="Compact"/>
            </w:pPr>
            <w:r>
              <w:t xml:space="preserve">Owner</w:t>
            </w:r>
          </w:p>
        </w:tc>
        <w:tc>
          <w:tcPr/>
          <w:p>
            <w:pPr>
              <w:pStyle w:val="Compact"/>
            </w:pPr>
            <w:r>
              <w:t xml:space="preserve">Trigger</w:t>
            </w:r>
          </w:p>
        </w:tc>
        <w:tc>
          <w:tcPr/>
          <w:p>
            <w:pPr>
              <w:pStyle w:val="Compact"/>
            </w:pPr>
            <w:r>
              <w:t xml:space="preserve">Output</w:t>
            </w:r>
          </w:p>
        </w:tc>
        <w:tc>
          <w:tcPr/>
          <w:p>
            <w:pPr>
              <w:pStyle w:val="Compact"/>
            </w:pPr>
            <w:r>
              <w:t xml:space="preserve">Gate to the next phase</w:t>
            </w:r>
          </w:p>
        </w:tc>
      </w:tr>
      <w:tr>
        <w:tc>
          <w:tcPr/>
          <w:p>
            <w:pPr>
              <w:pStyle w:val="Compact"/>
            </w:pPr>
            <w:r>
              <w:t xml:space="preserve">1. Procure</w:t>
            </w:r>
          </w:p>
        </w:tc>
        <w:tc>
          <w:tcPr/>
          <w:p>
            <w:pPr>
              <w:pStyle w:val="Compact"/>
            </w:pPr>
            <w:r>
              <w:t xml:space="preserve">Procurement</w:t>
            </w:r>
          </w:p>
        </w:tc>
        <w:tc>
          <w:tcPr/>
          <w:p>
            <w:pPr>
              <w:pStyle w:val="Compact"/>
            </w:pPr>
            <w:r>
              <w:t xml:space="preserve">Business request for an asset</w:t>
            </w:r>
          </w:p>
        </w:tc>
        <w:tc>
          <w:tcPr/>
          <w:p>
            <w:pPr>
              <w:pStyle w:val="Compact"/>
            </w:pPr>
            <w:r>
              <w:t xml:space="preserve">Approved purchase order with the organizational assignment</w:t>
            </w:r>
          </w:p>
        </w:tc>
        <w:tc>
          <w:tcPr/>
          <w:p>
            <w:pPr>
              <w:pStyle w:val="Compact"/>
            </w:pPr>
            <w:r>
              <w:t xml:space="preserve">Assignment validated against the organizational registry</w:t>
            </w:r>
          </w:p>
        </w:tc>
      </w:tr>
      <w:tr>
        <w:tc>
          <w:tcPr/>
          <w:p>
            <w:pPr>
              <w:pStyle w:val="Compact"/>
            </w:pPr>
            <w:r>
              <w:t xml:space="preserve">2. Pre-stage</w:t>
            </w:r>
          </w:p>
        </w:tc>
        <w:tc>
          <w:tcPr/>
          <w:p>
            <w:pPr>
              <w:pStyle w:val="Compact"/>
            </w:pPr>
            <w:r>
              <w:t xml:space="preserve">Procurement and vendor</w:t>
            </w:r>
          </w:p>
        </w:tc>
        <w:tc>
          <w:tcPr/>
          <w:p>
            <w:pPr>
              <w:pStyle w:val="Compact"/>
            </w:pPr>
            <w:r>
              <w:t xml:space="preserve">Purchase order sent to the vendor</w:t>
            </w:r>
          </w:p>
        </w:tc>
        <w:tc>
          <w:tcPr/>
          <w:p>
            <w:pPr>
              <w:pStyle w:val="Compact"/>
            </w:pPr>
            <w:r>
              <w:t xml:space="preserve">Vendor program record (Autopilot registration, Apple Business Manager assignment and so on)</w:t>
            </w:r>
          </w:p>
        </w:tc>
        <w:tc>
          <w:tcPr/>
          <w:p>
            <w:pPr>
              <w:pStyle w:val="Compact"/>
            </w:pPr>
            <w:r>
              <w:t xml:space="preserve">The vendor record carries the organizational assignment</w:t>
            </w:r>
          </w:p>
        </w:tc>
      </w:tr>
      <w:tr>
        <w:tc>
          <w:tcPr/>
          <w:p>
            <w:pPr>
              <w:pStyle w:val="Compact"/>
            </w:pPr>
            <w:r>
              <w:t xml:space="preserve">3. Position</w:t>
            </w:r>
          </w:p>
        </w:tc>
        <w:tc>
          <w:tcPr/>
          <w:p>
            <w:pPr>
              <w:pStyle w:val="Compact"/>
            </w:pPr>
            <w:r>
              <w:t xml:space="preserve">Governance pipeline</w:t>
            </w:r>
          </w:p>
        </w:tc>
        <w:tc>
          <w:tcPr/>
          <w:p>
            <w:pPr>
              <w:pStyle w:val="Compact"/>
            </w:pPr>
            <w:r>
              <w:t xml:space="preserve">Vendor confirms registration</w:t>
            </w:r>
          </w:p>
        </w:tc>
        <w:tc>
          <w:tcPr/>
          <w:p>
            <w:pPr>
              <w:pStyle w:val="Compact"/>
            </w:pPr>
            <w:r>
              <w:t xml:space="preserve">Procurement-side mapping table entry, keyed on serial number</w:t>
            </w:r>
          </w:p>
        </w:tc>
        <w:tc>
          <w:tcPr/>
          <w:p>
            <w:pPr>
              <w:pStyle w:val="Compact"/>
            </w:pPr>
            <w:r>
              <w:t xml:space="preserve">Mapping committed to the governance repository and reviewed</w:t>
            </w:r>
          </w:p>
        </w:tc>
      </w:tr>
      <w:tr>
        <w:tc>
          <w:tcPr/>
          <w:p>
            <w:pPr>
              <w:pStyle w:val="Compact"/>
            </w:pPr>
            <w:r>
              <w:t xml:space="preserve">4. Provision</w:t>
            </w:r>
          </w:p>
        </w:tc>
        <w:tc>
          <w:tcPr/>
          <w:p>
            <w:pPr>
              <w:pStyle w:val="Compact"/>
            </w:pPr>
            <w:r>
              <w:t xml:space="preserve">End user (zero-touch) or IT (assisted zero-touch)</w:t>
            </w:r>
          </w:p>
        </w:tc>
        <w:tc>
          <w:tcPr/>
          <w:p>
            <w:pPr>
              <w:pStyle w:val="Compact"/>
            </w:pPr>
            <w:r>
              <w:t xml:space="preserve">Asset arrives at the recipient’s location</w:t>
            </w:r>
          </w:p>
        </w:tc>
        <w:tc>
          <w:tcPr/>
          <w:p>
            <w:pPr>
              <w:pStyle w:val="Compact"/>
            </w:pPr>
            <w:r>
              <w:t xml:space="preserve">Enrolled, assigned, compliant device</w:t>
            </w:r>
          </w:p>
        </w:tc>
        <w:tc>
          <w:tcPr/>
          <w:p>
            <w:pPr>
              <w:pStyle w:val="Compact"/>
            </w:pPr>
            <w:r>
              <w:t xml:space="preserve">Compliance policy returns</w:t>
            </w:r>
            <w:r>
              <w:t xml:space="preserve"> </w:t>
            </w:r>
            <w:r>
              <w:rPr>
                <w:i/>
                <w:iCs/>
              </w:rPr>
              <w:t xml:space="preserve">Compliant</w:t>
            </w:r>
            <w:r>
              <w:t xml:space="preserve">; Conditional Access grants access</w:t>
            </w:r>
          </w:p>
        </w:tc>
      </w:tr>
      <w:tr>
        <w:tc>
          <w:tcPr/>
          <w:p>
            <w:pPr>
              <w:pStyle w:val="Compact"/>
            </w:pPr>
            <w:r>
              <w:t xml:space="preserve">5. Validate</w:t>
            </w:r>
          </w:p>
        </w:tc>
        <w:tc>
          <w:tcPr/>
          <w:p>
            <w:pPr>
              <w:pStyle w:val="Compact"/>
            </w:pPr>
            <w:r>
              <w:t xml:space="preserve">Governance pipeline</w:t>
            </w:r>
          </w:p>
        </w:tc>
        <w:tc>
          <w:tcPr/>
          <w:p>
            <w:pPr>
              <w:pStyle w:val="Compact"/>
            </w:pPr>
            <w:r>
              <w:t xml:space="preserve">The device’s first compliance evaluation completes</w:t>
            </w:r>
          </w:p>
        </w:tc>
        <w:tc>
          <w:tcPr/>
          <w:p>
            <w:pPr>
              <w:pStyle w:val="Compact"/>
            </w:pPr>
            <w:r>
              <w:t xml:space="preserve">Validation record in the governance audit log</w:t>
            </w:r>
          </w:p>
        </w:tc>
        <w:tc>
          <w:tcPr/>
          <w:p>
            <w:pPr>
              <w:pStyle w:val="Compact"/>
            </w:pPr>
            <w:r>
              <w:t xml:space="preserve">All phase 5 checks pass; device leaves quarantine if it was in it</w:t>
            </w:r>
          </w:p>
        </w:tc>
      </w:tr>
    </w:tbl>
    <w:p>
      <w:pPr>
        <w:pStyle w:val="BodyText"/>
      </w:pPr>
      <w:r>
        <w:t xml:space="preserve">The program’s latency target is 14 calendar days from purchase order to production-governed for standard hardware, and 5 calendar days for expedited orders. The short twin of this page named the phases Procure, Carrier, Validate, Enroll and Verify; the table above is the fuller version, and the two describe the same flow.</w:t>
      </w:r>
    </w:p>
    <w:p>
      <w:pPr>
        <w:pStyle w:val="BodyText"/>
      </w:pPr>
      <w:r>
        <w:t xml:space="preserve">The source also described a</w:t>
      </w:r>
      <w:r>
        <w:t xml:space="preserve"> </w:t>
      </w:r>
      <w:r>
        <w:t xml:space="preserve">“pre-staged Entra ID device object placeholder”</w:t>
      </w:r>
      <w:r>
        <w:t xml:space="preserve"> </w:t>
      </w:r>
      <w:r>
        <w:t xml:space="preserve">as a phase 3 output. For classic Autopilot that object isn’t something the pipeline creates: Autopilot creates it automatically when the device is registered.</w:t>
      </w:r>
      <w:r>
        <w:rPr>
          <w:rStyle w:val="FootnoteReference"/>
        </w:rPr>
        <w:footnoteReference w:id="34"/>
      </w:r>
      <w:r>
        <w:t xml:space="preserve"> </w:t>
      </w:r>
      <w:r>
        <w:t xml:space="preserve">Phase 3’s job is to confirm that the registration exists, carries the right group tag, and matches the procurement record.</w:t>
      </w:r>
    </w:p>
    <w:bookmarkStart w:id="36" w:name="procurement-intake-fields"/>
    <w:p>
      <w:pPr>
        <w:pStyle w:val="Heading3"/>
      </w:pPr>
      <w:r>
        <w:t xml:space="preserve">Procurement intake fields</w:t>
      </w:r>
    </w:p>
    <w:p>
      <w:pPr>
        <w:pStyle w:val="FirstParagraph"/>
      </w:pPr>
      <w:r>
        <w:t xml:space="preserve">Phase 1 is where the doctrine departs most from past practice. The organizational assignment is captured at purchase order time in structured fields:</w:t>
      </w:r>
    </w:p>
    <w:p>
      <w:pPr>
        <w:pStyle w:val="Compact"/>
        <w:numPr>
          <w:ilvl w:val="0"/>
          <w:numId w:val="1004"/>
        </w:numPr>
      </w:pPr>
      <w:r>
        <w:rPr>
          <w:rStyle w:val="VerbatimChar"/>
        </w:rPr>
        <w:t xml:space="preserve">recipient_upn</w:t>
      </w:r>
      <w:r>
        <w:t xml:space="preserve"> </w:t>
      </w:r>
      <w:r>
        <w:t xml:space="preserve">and</w:t>
      </w:r>
      <w:r>
        <w:t xml:space="preserve"> </w:t>
      </w:r>
      <w:r>
        <w:rPr>
          <w:rStyle w:val="VerbatimChar"/>
        </w:rPr>
        <w:t xml:space="preserve">recipient_org_attributes</w:t>
      </w:r>
      <w:r>
        <w:t xml:space="preserve">, resolved from Entra ID;</w:t>
      </w:r>
    </w:p>
    <w:p>
      <w:pPr>
        <w:pStyle w:val="Compact"/>
        <w:numPr>
          <w:ilvl w:val="0"/>
          <w:numId w:val="1004"/>
        </w:numPr>
      </w:pPr>
      <w:r>
        <w:rPr>
          <w:rStyle w:val="VerbatimChar"/>
        </w:rPr>
        <w:t xml:space="preserve">asset_class</w:t>
      </w:r>
      <w:r>
        <w:t xml:space="preserve"> </w:t>
      </w:r>
      <w:r>
        <w:t xml:space="preserve">(Windows endpoint, macOS endpoint, iOS tablet and so on);</w:t>
      </w:r>
    </w:p>
    <w:p>
      <w:pPr>
        <w:pStyle w:val="Compact"/>
        <w:numPr>
          <w:ilvl w:val="0"/>
          <w:numId w:val="1004"/>
        </w:numPr>
      </w:pPr>
      <w:r>
        <w:rPr>
          <w:rStyle w:val="VerbatimChar"/>
        </w:rPr>
        <w:t xml:space="preserve">asset_assignment_type</w:t>
      </w:r>
      <w:r>
        <w:t xml:space="preserve"> </w:t>
      </w:r>
      <w:r>
        <w:t xml:space="preserve">(personal, shared, kiosk, lab or service);</w:t>
      </w:r>
    </w:p>
    <w:p>
      <w:pPr>
        <w:pStyle w:val="Compact"/>
        <w:numPr>
          <w:ilvl w:val="0"/>
          <w:numId w:val="1004"/>
        </w:numPr>
      </w:pPr>
      <w:r>
        <w:rPr>
          <w:rStyle w:val="VerbatimChar"/>
        </w:rPr>
        <w:t xml:space="preserve">asset_org_attributes</w:t>
      </w:r>
      <w:r>
        <w:t xml:space="preserve"> </w:t>
      </w:r>
      <w:r>
        <w:t xml:space="preserve">and</w:t>
      </w:r>
      <w:r>
        <w:t xml:space="preserve"> </w:t>
      </w:r>
      <w:r>
        <w:rPr>
          <w:rStyle w:val="VerbatimChar"/>
        </w:rPr>
        <w:t xml:space="preserve">asset_orgnodeid</w:t>
      </w:r>
      <w:r>
        <w:t xml:space="preserve">, validated against the organizational registry; and</w:t>
      </w:r>
    </w:p>
    <w:p>
      <w:pPr>
        <w:pStyle w:val="Compact"/>
        <w:numPr>
          <w:ilvl w:val="0"/>
          <w:numId w:val="1004"/>
        </w:numPr>
      </w:pPr>
      <w:r>
        <w:rPr>
          <w:rStyle w:val="VerbatimChar"/>
        </w:rPr>
        <w:t xml:space="preserve">vendor</w:t>
      </w:r>
      <w:r>
        <w:t xml:space="preserve"> </w:t>
      </w:r>
      <w:r>
        <w:t xml:space="preserve">and</w:t>
      </w:r>
      <w:r>
        <w:t xml:space="preserve"> </w:t>
      </w:r>
      <w:r>
        <w:rPr>
          <w:rStyle w:val="VerbatimChar"/>
        </w:rPr>
        <w:t xml:space="preserve">vendor_program</w:t>
      </w:r>
      <w:r>
        <w:t xml:space="preserve"> </w:t>
      </w:r>
      <w:r>
        <w:t xml:space="preserve">(Autopilot through the OEM or reseller, Apple Business Manager, Android zero-touch, Samsung Knox Mobile Enrollment, or Arc for servers).</w:t>
      </w:r>
    </w:p>
    <w:p>
      <w:pPr>
        <w:pStyle w:val="FirstParagraph"/>
      </w:pPr>
      <w:r>
        <w:t xml:space="preserve">The procurement system commits the order as a structured record in the governance repository and writes the organizational assignment to the vendor program in phase 2.</w:t>
      </w:r>
    </w:p>
    <w:bookmarkEnd w:id="36"/>
    <w:bookmarkEnd w:id="37"/>
    <w:bookmarkStart w:id="84" w:name="Xf13c5ce41018786127986a009f8593183d66c04"/>
    <w:p>
      <w:pPr>
        <w:pStyle w:val="Heading2"/>
      </w:pPr>
      <w:r>
        <w:t xml:space="preserve">Windows: Autopilot or Autopilot device preparation</w:t>
      </w:r>
    </w:p>
    <w:p>
      <w:pPr>
        <w:pStyle w:val="FirstParagraph"/>
      </w:pPr>
      <w:r>
        <w:t xml:space="preserve">Microsoft now ships two Windows provisioning solutions. Windows Autopilot device preparation is a re-architecture of Windows Autopilot with a simpler configuration and near real-time reporting. Classic Windows Autopilot remains more feature-rich.</w:t>
      </w:r>
      <w:r>
        <w:rPr>
          <w:rStyle w:val="FootnoteReference"/>
        </w:rPr>
        <w:footnoteReference w:id="38"/>
      </w:r>
      <w:r>
        <w:t xml:space="preserve"> </w:t>
      </w:r>
      <w:r>
        <w:t xml:space="preserve">The differences that matter for this doctrine:</w:t>
      </w:r>
      <w:r>
        <w:rPr>
          <w:rStyle w:val="FootnoteReference"/>
        </w:rPr>
        <w:footnoteReference w:id="40"/>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Requirement</w:t>
            </w:r>
          </w:p>
        </w:tc>
        <w:tc>
          <w:tcPr/>
          <w:p>
            <w:pPr>
              <w:pStyle w:val="Compact"/>
            </w:pPr>
            <w:r>
              <w:t xml:space="preserve">Autopilot device preparation</w:t>
            </w:r>
          </w:p>
        </w:tc>
        <w:tc>
          <w:tcPr/>
          <w:p>
            <w:pPr>
              <w:pStyle w:val="Compact"/>
            </w:pPr>
            <w:r>
              <w:t xml:space="preserve">Windows Autopilot</w:t>
            </w:r>
          </w:p>
        </w:tc>
      </w:tr>
      <w:tr>
        <w:tc>
          <w:tcPr/>
          <w:p>
            <w:pPr>
              <w:pStyle w:val="Compact"/>
            </w:pPr>
            <w:r>
              <w:t xml:space="preserve">Device registration required</w:t>
            </w:r>
          </w:p>
        </w:tc>
        <w:tc>
          <w:tcPr/>
          <w:p>
            <w:pPr>
              <w:pStyle w:val="Compact"/>
            </w:pPr>
            <w:r>
              <w:t xml:space="preserve">No</w:t>
            </w:r>
          </w:p>
        </w:tc>
        <w:tc>
          <w:tcPr/>
          <w:p>
            <w:pPr>
              <w:pStyle w:val="Compact"/>
            </w:pPr>
            <w:r>
              <w:t xml:space="preserve">Yes</w:t>
            </w:r>
          </w:p>
        </w:tc>
      </w:tr>
      <w:tr>
        <w:tc>
          <w:tcPr/>
          <w:p>
            <w:pPr>
              <w:pStyle w:val="Compact"/>
            </w:pPr>
            <w:r>
              <w:t xml:space="preserve">Bind devices to the tenant before enrollment</w:t>
            </w:r>
          </w:p>
        </w:tc>
        <w:tc>
          <w:tcPr/>
          <w:p>
            <w:pPr>
              <w:pStyle w:val="Compact"/>
            </w:pPr>
            <w:r>
              <w:t xml:space="preserve">Yes, through device association</w:t>
            </w:r>
          </w:p>
        </w:tc>
        <w:tc>
          <w:tcPr/>
          <w:p>
            <w:pPr>
              <w:pStyle w:val="Compact"/>
            </w:pPr>
            <w:r>
              <w:t xml:space="preserve">Yes, through registration</w:t>
            </w:r>
          </w:p>
        </w:tc>
      </w:tr>
      <w:tr>
        <w:tc>
          <w:tcPr/>
          <w:p>
            <w:pPr>
              <w:pStyle w:val="Compact"/>
            </w:pPr>
            <w:r>
              <w:t xml:space="preserve">Group tag on the registration</w:t>
            </w:r>
          </w:p>
        </w:tc>
        <w:tc>
          <w:tcPr/>
          <w:p>
            <w:pPr>
              <w:pStyle w:val="Compact"/>
            </w:pPr>
            <w:r>
              <w:t xml:space="preserve">Not applicable (no registration)</w:t>
            </w:r>
          </w:p>
        </w:tc>
        <w:tc>
          <w:tcPr/>
          <w:p>
            <w:pPr>
              <w:pStyle w:val="Compact"/>
            </w:pPr>
            <w:r>
              <w:t xml:space="preserve">Yes</w:t>
            </w:r>
          </w:p>
        </w:tc>
      </w:tr>
      <w:tr>
        <w:tc>
          <w:tcPr/>
          <w:p>
            <w:pPr>
              <w:pStyle w:val="Compact"/>
            </w:pPr>
            <w:r>
              <w:t xml:space="preserve">Microsoft Entra join</w:t>
            </w:r>
          </w:p>
        </w:tc>
        <w:tc>
          <w:tcPr/>
          <w:p>
            <w:pPr>
              <w:pStyle w:val="Compact"/>
            </w:pPr>
            <w:r>
              <w:t xml:space="preserve">Yes</w:t>
            </w:r>
          </w:p>
        </w:tc>
        <w:tc>
          <w:tcPr/>
          <w:p>
            <w:pPr>
              <w:pStyle w:val="Compact"/>
            </w:pPr>
            <w:r>
              <w:t xml:space="preserve">Yes</w:t>
            </w:r>
          </w:p>
        </w:tc>
      </w:tr>
      <w:tr>
        <w:tc>
          <w:tcPr/>
          <w:p>
            <w:pPr>
              <w:pStyle w:val="Compact"/>
            </w:pPr>
            <w:r>
              <w:t xml:space="preserve">Microsoft Entra hybrid join</w:t>
            </w:r>
          </w:p>
        </w:tc>
        <w:tc>
          <w:tcPr/>
          <w:p>
            <w:pPr>
              <w:pStyle w:val="Compact"/>
            </w:pPr>
            <w:r>
              <w:t xml:space="preserve">No</w:t>
            </w:r>
          </w:p>
        </w:tc>
        <w:tc>
          <w:tcPr/>
          <w:p>
            <w:pPr>
              <w:pStyle w:val="Compact"/>
            </w:pPr>
            <w:r>
              <w:t xml:space="preserve">Yes</w:t>
            </w:r>
          </w:p>
        </w:tc>
      </w:tr>
      <w:tr>
        <w:tc>
          <w:tcPr/>
          <w:p>
            <w:pPr>
              <w:pStyle w:val="Compact"/>
            </w:pPr>
            <w:r>
              <w:t xml:space="preserve">User-driven</w:t>
            </w:r>
          </w:p>
        </w:tc>
        <w:tc>
          <w:tcPr/>
          <w:p>
            <w:pPr>
              <w:pStyle w:val="Compact"/>
            </w:pPr>
            <w:r>
              <w:t xml:space="preserve">Yes</w:t>
            </w:r>
          </w:p>
        </w:tc>
        <w:tc>
          <w:tcPr/>
          <w:p>
            <w:pPr>
              <w:pStyle w:val="Compact"/>
            </w:pPr>
            <w:r>
              <w:t xml:space="preserve">Yes</w:t>
            </w:r>
          </w:p>
        </w:tc>
      </w:tr>
      <w:tr>
        <w:tc>
          <w:tcPr/>
          <w:p>
            <w:pPr>
              <w:pStyle w:val="Compact"/>
            </w:pPr>
            <w:r>
              <w:t xml:space="preserve">Pre-provisioned and self-deploying</w:t>
            </w:r>
          </w:p>
        </w:tc>
        <w:tc>
          <w:tcPr/>
          <w:p>
            <w:pPr>
              <w:pStyle w:val="Compact"/>
            </w:pPr>
            <w:r>
              <w:t xml:space="preserve">No</w:t>
            </w:r>
          </w:p>
        </w:tc>
        <w:tc>
          <w:tcPr/>
          <w:p>
            <w:pPr>
              <w:pStyle w:val="Compact"/>
            </w:pPr>
            <w:r>
              <w:t xml:space="preserve">Yes</w:t>
            </w:r>
          </w:p>
        </w:tc>
      </w:tr>
      <w:tr>
        <w:tc>
          <w:tcPr/>
          <w:p>
            <w:pPr>
              <w:pStyle w:val="Compact"/>
            </w:pPr>
            <w:r>
              <w:t xml:space="preserve">Windows 10</w:t>
            </w:r>
          </w:p>
        </w:tc>
        <w:tc>
          <w:tcPr/>
          <w:p>
            <w:pPr>
              <w:pStyle w:val="Compact"/>
            </w:pPr>
            <w:r>
              <w:t xml:space="preserve">No</w:t>
            </w:r>
          </w:p>
        </w:tc>
        <w:tc>
          <w:tcPr/>
          <w:p>
            <w:pPr>
              <w:pStyle w:val="Compact"/>
            </w:pPr>
            <w:r>
              <w:t xml:space="preserve">Yes</w:t>
            </w:r>
          </w:p>
        </w:tc>
      </w:tr>
      <w:tr>
        <w:tc>
          <w:tcPr/>
          <w:p>
            <w:pPr>
              <w:pStyle w:val="Compact"/>
            </w:pPr>
            <w:r>
              <w:t xml:space="preserve">More than 10 apps or 10 PowerShell scripts during setup</w:t>
            </w:r>
          </w:p>
        </w:tc>
        <w:tc>
          <w:tcPr/>
          <w:p>
            <w:pPr>
              <w:pStyle w:val="Compact"/>
            </w:pPr>
            <w:r>
              <w:t xml:space="preserve">No</w:t>
            </w:r>
          </w:p>
        </w:tc>
        <w:tc>
          <w:tcPr/>
          <w:p>
            <w:pPr>
              <w:pStyle w:val="Compact"/>
            </w:pPr>
            <w:r>
              <w:t xml:space="preserve">Yes</w:t>
            </w:r>
          </w:p>
        </w:tc>
      </w:tr>
      <w:tr>
        <w:tc>
          <w:tcPr/>
          <w:p>
            <w:pPr>
              <w:pStyle w:val="Compact"/>
            </w:pPr>
            <w:r>
              <w:t xml:space="preserve">Block the desktop until user-based configuration is applied</w:t>
            </w:r>
          </w:p>
        </w:tc>
        <w:tc>
          <w:tcPr/>
          <w:p>
            <w:pPr>
              <w:pStyle w:val="Compact"/>
            </w:pPr>
            <w:r>
              <w:t xml:space="preserve">No</w:t>
            </w:r>
          </w:p>
        </w:tc>
        <w:tc>
          <w:tcPr/>
          <w:p>
            <w:pPr>
              <w:pStyle w:val="Compact"/>
            </w:pPr>
            <w:r>
              <w:t xml:space="preserve">Yes</w:t>
            </w:r>
          </w:p>
        </w:tc>
      </w:tr>
      <w:tr>
        <w:tc>
          <w:tcPr/>
          <w:p>
            <w:pPr>
              <w:pStyle w:val="Compact"/>
            </w:pPr>
            <w:r>
              <w:t xml:space="preserve">What admins configure</w:t>
            </w:r>
          </w:p>
        </w:tc>
        <w:tc>
          <w:tcPr/>
          <w:p>
            <w:pPr>
              <w:pStyle w:val="Compact"/>
            </w:pPr>
            <w:r>
              <w:t xml:space="preserve">Device preparation policy, plus a device security group owned by the Intune Provisioning Client</w:t>
            </w:r>
          </w:p>
        </w:tc>
        <w:tc>
          <w:tcPr/>
          <w:p>
            <w:pPr>
              <w:pStyle w:val="Compact"/>
            </w:pPr>
            <w:r>
              <w:t xml:space="preserve">Deployment profile, plus the Enrollment Status Page</w:t>
            </w:r>
          </w:p>
        </w:tc>
      </w:tr>
      <w:tr>
        <w:tc>
          <w:tcPr/>
          <w:p>
            <w:pPr>
              <w:pStyle w:val="Compact"/>
            </w:pPr>
            <w:r>
              <w:t xml:space="preserve">GCC High and DoD</w:t>
            </w:r>
          </w:p>
        </w:tc>
        <w:tc>
          <w:tcPr/>
          <w:p>
            <w:pPr>
              <w:pStyle w:val="Compact"/>
            </w:pPr>
            <w:r>
              <w:t xml:space="preserve">Yes</w:t>
            </w:r>
          </w:p>
        </w:tc>
        <w:tc>
          <w:tcPr/>
          <w:p>
            <w:pPr>
              <w:pStyle w:val="Compact"/>
            </w:pPr>
            <w:r>
              <w:t xml:space="preserve">No</w:t>
            </w:r>
          </w:p>
        </w:tc>
      </w:tr>
    </w:tbl>
    <w:bookmarkStart w:id="48" w:name="which-one-in-a-gcc-tenant"/>
    <w:p>
      <w:pPr>
        <w:pStyle w:val="Heading3"/>
      </w:pPr>
      <w:r>
        <w:t xml:space="preserve">Which one, in a GCC tenant</w:t>
      </w:r>
    </w:p>
    <w:p>
      <w:pPr>
        <w:pStyle w:val="FirstParagraph"/>
      </w:pPr>
      <w:r>
        <w:t xml:space="preserve">The workbook assumes a Microsoft 365 GCC tenant. Intune doesn’t have a separate GCC instance; GCC uses the commercial Intune service, so both solutions are available. GCC High and DoD use a separate government instance in which classic Windows Autopilot isn’t available.</w:t>
      </w:r>
      <w:r>
        <w:rPr>
          <w:rStyle w:val="FootnoteReference"/>
        </w:rPr>
        <w:footnoteReference w:id="42"/>
      </w:r>
    </w:p>
    <w:p>
      <w:pPr>
        <w:pStyle w:val="BodyText"/>
      </w:pPr>
      <w:r>
        <w:t xml:space="preserve">The program’s recommendation for a GCC tenant is</w:t>
      </w:r>
      <w:r>
        <w:t xml:space="preserve"> </w:t>
      </w:r>
      <w:r>
        <w:rPr>
          <w:b/>
          <w:bCs/>
        </w:rPr>
        <w:t xml:space="preserve">classic Windows Autopilot, user-driven, with Microsoft Entra join, and OEM or reseller registration carrying a group tag</w:t>
      </w:r>
      <w:r>
        <w:t xml:space="preserve">, as the default for standard hardware. The reason is pillar 2. Classic Autopilot’s registration carries the procurement attribute (group tag and purchase order ID) from the vendor to the Entra ID device object before the device is powered on. Device preparation has no registration, so it has no carrier: devices are added to a device group at enrollment time,</w:t>
      </w:r>
      <w:r>
        <w:rPr>
          <w:rStyle w:val="FootnoteReference"/>
        </w:rPr>
        <w:footnoteReference w:id="44"/>
      </w:r>
      <w:r>
        <w:t xml:space="preserve"> </w:t>
      </w:r>
      <w:r>
        <w:t xml:space="preserve">and the organizational assignment has to come from the procurement mapping table after enrollment.</w:t>
      </w:r>
    </w:p>
    <w:p>
      <w:pPr>
        <w:pStyle w:val="BodyText"/>
      </w:pPr>
      <w:r>
        <w:t xml:space="preserve">Use device preparation where its advantages matter (a simpler policy, faster provisioning, mixing Win32 and line-of-business apps in one deployment, or a tenant that might later move to GCC High), and carry the attribute from the serial-number mapping table in phase 3. Don’t use either solution with hybrid join for new devices; that’s what pillar 4 forbids.</w:t>
      </w:r>
    </w:p>
    <w:p>
      <w:pPr>
        <w:pStyle w:val="BodyText"/>
      </w:pPr>
      <w:r>
        <w:t xml:space="preserve">Device preparation requires Windows 11 version 24H2 or later, or version 23H2 or 22H2 with KB5035942 or later. Installation media dated April 2024 or later includes that update. It needs Microsoft Entra automatic enrollment configured, and the first user who signs in must be allowed to join devices to Entra ID.</w:t>
      </w:r>
      <w:r>
        <w:rPr>
          <w:rStyle w:val="FootnoteReference"/>
        </w:rPr>
        <w:footnoteReference w:id="46"/>
      </w:r>
      <w:r>
        <w:t xml:space="preserve"> </w:t>
      </w:r>
      <w:r>
        <w:t xml:space="preserve">That last requirement is a governance point: on the device preparation path, the user’s own join permission is what brings the device in.</w:t>
      </w:r>
    </w:p>
    <w:bookmarkEnd w:id="48"/>
    <w:bookmarkStart w:id="64" w:name="registration-and-group-tags"/>
    <w:p>
      <w:pPr>
        <w:pStyle w:val="Heading3"/>
      </w:pPr>
      <w:r>
        <w:t xml:space="preserve">Registration and group tags</w:t>
      </w:r>
    </w:p>
    <w:p>
      <w:pPr>
        <w:pStyle w:val="FirstParagraph"/>
      </w:pPr>
      <w:r>
        <w:t xml:space="preserve">Registration binds the hardware hash to the tenant. The OEM, reseller or distributor should do it at purchase, which is also what makes it zero-touch. An OEM or reseller can register devices only after the organization’s Global Administrator authorizes it. Microsoft calls out that this one feature needs the Global Administrator role and recommends least-privileged roles everywhere else.</w:t>
      </w:r>
      <w:r>
        <w:rPr>
          <w:rStyle w:val="FootnoteReference"/>
        </w:rPr>
        <w:footnoteReference w:id="49"/>
      </w:r>
      <w:r>
        <w:t xml:space="preserve"> </w:t>
      </w:r>
      <w:r>
        <w:t xml:space="preserve">Plan that consent as a one-time, recorded approval per supplier. Manual registration, harvesting the hash from a running device, is intended mainly for testing and evaluation.</w:t>
      </w:r>
      <w:r>
        <w:rPr>
          <w:rStyle w:val="FootnoteReference"/>
        </w:rPr>
        <w:footnoteReference w:id="51"/>
      </w:r>
    </w:p>
    <w:tbl>
      <w:tblPr>
        <w:tblStyle w:val="Table"/>
        <w:tblW w:type="pct" w:w="5000"/>
        <w:tblLayout w:type="fixed"/>
        <w:tblLook w:firstRow="0" w:lastRow="0" w:firstColumn="0" w:lastColumn="0" w:noHBand="0" w:noVBand="0" w:val="0000"/>
      </w:tblPr>
      <w:tblGrid>
        <w:gridCol w:w="7920"/>
      </w:tblGrid>
      <w:tr>
        <w:tc>
          <w:tcPr/>
          <w:bookmarkStart w:id="56" w:name="fig-ch04-assignment-carrier"/>
          <w:p>
            <w:pPr>
              <w:pStyle w:val="Compact"/>
              <w:jc w:val="center"/>
            </w:pPr>
            <w:r>
              <w:drawing>
                <wp:inline>
                  <wp:extent cx="2609850" cy="5086350"/>
                  <wp:effectExtent b="0" l="0" r="0" t="0"/>
                  <wp:docPr descr="" title="" id="54" name="Picture"/>
                  <a:graphic>
                    <a:graphicData uri="http://schemas.openxmlformats.org/drawingml/2006/picture">
                      <pic:pic>
                        <pic:nvPicPr>
                          <pic:cNvPr descr="../../images/diagrams/b05-devices/svg/ch04-assignment-carrier.sv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bwMode="auto">
                          <a:xfrm>
                            <a:off x="0" y="0"/>
                            <a:ext cx="2609850" cy="50863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Classic Autopilot carries the procurement decision to the device’s configuration: the group tag on the registration becomes an OrderID on the Entra ID device, which a dynamic group matches.</w:t>
            </w:r>
          </w:p>
          <w:bookmarkEnd w:id="56"/>
        </w:tc>
      </w:tr>
    </w:tbl>
    <w:p>
      <w:pPr>
        <w:pStyle w:val="BodyText"/>
      </w:pPr>
      <w:r>
        <w:t xml:space="preserve">The group tag Intune stores on the registration appears on the Entra ID device as an</w:t>
      </w:r>
      <w:r>
        <w:t xml:space="preserve"> </w:t>
      </w:r>
      <w:r>
        <w:rPr>
          <w:rStyle w:val="VerbatimChar"/>
        </w:rPr>
        <w:t xml:space="preserve">[OrderID]</w:t>
      </w:r>
      <w:r>
        <w:t xml:space="preserve"> </w:t>
      </w:r>
      <w:r>
        <w:t xml:space="preserve">physical ID, and the purchase order ID appears as</w:t>
      </w:r>
      <w:r>
        <w:t xml:space="preserve"> </w:t>
      </w:r>
      <w:r>
        <w:rPr>
          <w:rStyle w:val="VerbatimChar"/>
        </w:rPr>
        <w:t xml:space="preserve">[PurchaseOrderId]</w:t>
      </w:r>
      <w:r>
        <w:t xml:space="preserve">.</w:t>
      </w:r>
      <w:r>
        <w:rPr>
          <w:rStyle w:val="FootnoteReference"/>
        </w:rPr>
        <w:footnoteReference w:id="57"/>
      </w:r>
      <w:r>
        <w:t xml:space="preserve"> </w:t>
      </w:r>
      <w:r>
        <w:t xml:space="preserve">Dynamic groups match on them.</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warning.png" id="61" name="Picture"/>
                          <pic:cNvPicPr>
                            <a:picLocks noChangeArrowheads="1" noChangeAspect="1"/>
                          </pic:cNvPicPr>
                        </pic:nvPicPr>
                        <pic:blipFill>
                          <a:blip r:embed="rId5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tenant</w:t>
            </w:r>
          </w:p>
        </w:tc>
      </w:tr>
      <w:tr>
        <w:trPr>
          <w:cantSplit/>
        </w:trPr>
        <w:tc>
          <w:tcPr>
            <w:tcMar>
              <w:top w:w="108" w:type="dxa"/>
              <w:bottom w:w="108" w:type="dxa"/>
            </w:tcMar>
          </w:tcPr>
          <w:p>
            <w:pPr>
              <w:pStyle w:val="BodyText"/>
            </w:pPr>
            <w:pPr>
              <w:spacing w:before="16" w:after="16"/>
            </w:pPr>
            <w:r>
              <w:t xml:space="preserve">The rules and commands in this chapter are examples. Test each one in a non-production scope and check the resulting group membership before you assign policy to it.</w:t>
            </w:r>
          </w:p>
          <w:p/>
        </w:tc>
      </w:tr>
    </w:tbl>
    <w:p>
      <w:pPr>
        <w:pStyle w:val="BodyText"/>
      </w:pPr>
      <w:r>
        <w:t xml:space="preserve"> </w:t>
      </w:r>
    </w:p>
    <w:p>
      <w:pPr>
        <w:pStyle w:val="SourceCode"/>
      </w:pPr>
      <w:r>
        <w:rPr>
          <w:rStyle w:val="VerbatimChar"/>
        </w:rPr>
        <w:t xml:space="preserve">All Windows Autopilot devices</w:t>
      </w:r>
      <w:r>
        <w:br/>
      </w:r>
      <w:r>
        <w:rPr>
          <w:rStyle w:val="VerbatimChar"/>
        </w:rPr>
        <w:t xml:space="preserve">(device.devicePhysicalIDs -any (_ -startsWith "[ZTDid]"))</w:t>
      </w:r>
      <w:r>
        <w:br/>
      </w:r>
      <w:r>
        <w:br/>
      </w:r>
      <w:r>
        <w:rPr>
          <w:rStyle w:val="VerbatimChar"/>
        </w:rPr>
        <w:t xml:space="preserve">Devices whose group tag is a given organizational node</w:t>
      </w:r>
      <w:r>
        <w:br/>
      </w:r>
      <w:r>
        <w:rPr>
          <w:rStyle w:val="VerbatimChar"/>
        </w:rPr>
        <w:t xml:space="preserve">(device.devicePhysicalIds -any _ -eq "[OrderID]:ORG-0420")</w:t>
      </w:r>
      <w:r>
        <w:br/>
      </w:r>
      <w:r>
        <w:br/>
      </w:r>
      <w:r>
        <w:rPr>
          <w:rStyle w:val="VerbatimChar"/>
        </w:rPr>
        <w:t xml:space="preserve">Devices bought on a given purchase order</w:t>
      </w:r>
      <w:r>
        <w:br/>
      </w:r>
      <w:r>
        <w:rPr>
          <w:rStyle w:val="VerbatimChar"/>
        </w:rPr>
        <w:t xml:space="preserve">(device.devicePhysicalIds -any _ -eq "[PurchaseOrderId]:76222342342")</w:t>
      </w:r>
    </w:p>
    <w:p>
      <w:pPr>
        <w:pStyle w:val="FirstParagraph"/>
      </w:pPr>
      <w:r>
        <w:t xml:space="preserve">The rule syntax is Microsoft’s;</w:t>
      </w:r>
      <w:r>
        <w:rPr>
          <w:rStyle w:val="FootnoteReference"/>
        </w:rPr>
        <w:footnoteReference w:id="62"/>
      </w:r>
      <w:r>
        <w:t xml:space="preserve"> </w:t>
      </w:r>
      <w:r>
        <w:t xml:space="preserve">the</w:t>
      </w:r>
      <w:r>
        <w:t xml:space="preserve"> </w:t>
      </w:r>
      <w:r>
        <w:rPr>
          <w:rStyle w:val="VerbatimChar"/>
        </w:rPr>
        <w:t xml:space="preserve">ORG-0420</w:t>
      </w:r>
      <w:r>
        <w:t xml:space="preserve"> </w:t>
      </w:r>
      <w:r>
        <w:t xml:space="preserve">value is an example of an organizational node code. The program’s convention is that the group tag carries the organizational node identifier from the procurement record, never a free-text department name, so a reorganization changes the mapping table, not thousands of registrations. The Autopilot profile, compliance policies and configuration profiles are then assigned to those groups, which is how the procurement decision reaches the device’s configuration without anyone touching it.</w:t>
      </w:r>
    </w:p>
    <w:bookmarkEnd w:id="64"/>
    <w:bookmarkStart w:id="71" w:name="enrollment-restrictions"/>
    <w:p>
      <w:pPr>
        <w:pStyle w:val="Heading3"/>
      </w:pPr>
      <w:r>
        <w:t xml:space="preserve">Enrollment restrictions</w:t>
      </w:r>
    </w:p>
    <w:p>
      <w:pPr>
        <w:pStyle w:val="FirstParagraph"/>
      </w:pPr>
      <w:r>
        <w:t xml:space="preserve">Enrollment restrictions decide which devices may enroll at all. For Intune-first, the important one is the device platform restriction that blocks personally owned Windows devices. With it in place, Intune authorizes a Windows enrollment as corporate only through approved paths, and Windows Autopilot is one of them.</w:t>
      </w:r>
      <w:r>
        <w:rPr>
          <w:rStyle w:val="FootnoteReference"/>
        </w:rPr>
        <w:footnoteReference w:id="65"/>
      </w:r>
      <w:r>
        <w:t xml:space="preserve"> </w:t>
      </w:r>
      <w:r>
        <w:t xml:space="preserve">Devices provisioned through device preparation are treated as corporate but blocked by a personal-device restriction unless they’re defined by corporate identifiers (serial number, manufacturer and model uploaded in advance) or bound to the tenant by device association.</w:t>
      </w:r>
      <w:r>
        <w:rPr>
          <w:rStyle w:val="FootnoteReference"/>
        </w:rPr>
        <w:footnoteReference w:id="67"/>
      </w:r>
    </w:p>
    <w:p>
      <w:pPr>
        <w:pStyle w:val="BodyText"/>
      </w:pPr>
      <w:r>
        <w:t xml:space="preserve">That gives the doctrine its enforcement point. With personal Windows enrollment blocked, a device that wasn’t registered or pre-identified by procurement can’t enroll as corporate. It fails with an enrollment restriction error, which is exactly the pillar 5 behavior: quarantine, not silent degradation. Allow personal Windows enrollment only for the specific user groups that need it, which is also Microsoft’s advice.</w:t>
      </w:r>
      <w:r>
        <w:rPr>
          <w:rStyle w:val="FootnoteReference"/>
        </w:rPr>
        <w:footnoteReference w:id="69"/>
      </w:r>
    </w:p>
    <w:bookmarkEnd w:id="71"/>
    <w:bookmarkStart w:id="76" w:name="naming"/>
    <w:p>
      <w:pPr>
        <w:pStyle w:val="Heading3"/>
      </w:pPr>
      <w:r>
        <w:t xml:space="preserve">Naming</w:t>
      </w:r>
    </w:p>
    <w:p>
      <w:pPr>
        <w:pStyle w:val="FirstParagraph"/>
      </w:pPr>
      <w:r>
        <w:t xml:space="preserve">Classic Autopilot profiles can apply a device name template. Names must be 15 characters or fewer, use letters, numbers and hyphens, and can’t be all numbers. The</w:t>
      </w:r>
      <w:r>
        <w:t xml:space="preserve"> </w:t>
      </w:r>
      <w:r>
        <w:rPr>
          <w:rStyle w:val="VerbatimChar"/>
        </w:rPr>
        <w:t xml:space="preserve">%SERIAL%</w:t>
      </w:r>
      <w:r>
        <w:t xml:space="preserve"> </w:t>
      </w:r>
      <w:r>
        <w:t xml:space="preserve">macro inserts the hardware serial number and</w:t>
      </w:r>
      <w:r>
        <w:t xml:space="preserve"> </w:t>
      </w:r>
      <w:r>
        <w:rPr>
          <w:rStyle w:val="VerbatimChar"/>
        </w:rPr>
        <w:t xml:space="preserve">%RAND:x%</w:t>
      </w:r>
      <w:r>
        <w:t xml:space="preserve"> </w:t>
      </w:r>
      <w:r>
        <w:t xml:space="preserve">inserts x random digits.</w:t>
      </w:r>
      <w:r>
        <w:rPr>
          <w:rStyle w:val="FootnoteReference"/>
        </w:rPr>
        <w:footnoteReference w:id="72"/>
      </w:r>
      <w:r>
        <w:t xml:space="preserve"> </w:t>
      </w:r>
      <w:r>
        <w:t xml:space="preserve">The program’s convention is a short, fixed prefix for the asset class followed by</w:t>
      </w:r>
      <w:r>
        <w:t xml:space="preserve"> </w:t>
      </w:r>
      <w:r>
        <w:rPr>
          <w:rStyle w:val="VerbatimChar"/>
        </w:rPr>
        <w:t xml:space="preserve">%SERIAL%</w:t>
      </w:r>
      <w:r>
        <w:t xml:space="preserve">, truncated to fit 15 characters, because the serial number is the procurement join key (</w:t>
      </w:r>
      <w:hyperlink r:id="rId74">
        <w:r>
          <w:rPr>
            <w:rStyle w:val="Hyperlink"/>
          </w:rPr>
          <w:t xml:space="preserve">Chapter 03</w:t>
        </w:r>
      </w:hyperlink>
      <w:r>
        <w:t xml:space="preserve">). Organizational position doesn’t go in the name. It goes in the group tag, where it can change without renaming the device.</w:t>
      </w:r>
    </w:p>
    <w:p>
      <w:pPr>
        <w:pStyle w:val="BodyText"/>
      </w:pPr>
      <w:r>
        <w:t xml:space="preserve">In GCC High and DoD, renaming devices during device preparation based on organizational structure is still listed as a planned feature.</w:t>
      </w:r>
      <w:r>
        <w:rPr>
          <w:rStyle w:val="FootnoteReference"/>
        </w:rPr>
        <w:footnoteReference w:id="75"/>
      </w:r>
      <w:r>
        <w:t xml:space="preserve"> </w:t>
      </w:r>
      <w:r>
        <w:t xml:space="preserve">Check device preparation’s current capabilities before you rely on it for naming.</w:t>
      </w:r>
    </w:p>
    <w:bookmarkEnd w:id="76"/>
    <w:bookmarkStart w:id="83" w:name="the-enrollment-status-page"/>
    <w:p>
      <w:pPr>
        <w:pStyle w:val="Heading3"/>
      </w:pPr>
      <w:r>
        <w:t xml:space="preserve">The Enrollment Status Page</w:t>
      </w:r>
    </w:p>
    <w:p>
      <w:pPr>
        <w:pStyle w:val="FirstParagraph"/>
      </w:pPr>
      <w:r>
        <w:t xml:space="preserve">The Enrollment Status Page (ESP) shows provisioning progress and can block the device until required policies and apps are installed. It runs in two phases: device setup during the out-of-box experience, then account setup for the first user. The default ESP assigned to all devices doesn’t show app and profile progress; Microsoft recommends a custom ESP that does, because a user who signs in before the device is fully provisioned can cause problems.</w:t>
      </w:r>
      <w:r>
        <w:rPr>
          <w:rStyle w:val="FootnoteReference"/>
        </w:rPr>
        <w:footnoteReference w:id="77"/>
      </w:r>
      <w:r>
        <w:t xml:space="preserve"> </w:t>
      </w:r>
      <w:r>
        <w:t xml:space="preserve">A tenant can hold up to 51 ESP profiles (the default plus 50).</w:t>
      </w:r>
      <w:r>
        <w:rPr>
          <w:rStyle w:val="FootnoteReference"/>
        </w:rPr>
        <w:footnoteReference w:id="79"/>
      </w:r>
    </w:p>
    <w:p>
      <w:pPr>
        <w:pStyle w:val="BodyText"/>
      </w:pPr>
      <w:r>
        <w:t xml:space="preserve">For Intune-first, configure the ESP to block device use until the security-critical items are installed: the compliance-relevant configuration, Defender, BitLocker and any agent the validation phase checks for. Use the</w:t>
      </w:r>
      <w:r>
        <w:t xml:space="preserve"> </w:t>
      </w:r>
      <w:r>
        <w:rPr>
          <w:b/>
          <w:bCs/>
        </w:rPr>
        <w:t xml:space="preserve">Selected</w:t>
      </w:r>
      <w:r>
        <w:t xml:space="preserve"> </w:t>
      </w:r>
      <w:r>
        <w:t xml:space="preserve">blocking-apps list rather than</w:t>
      </w:r>
      <w:r>
        <w:t xml:space="preserve"> </w:t>
      </w:r>
      <w:r>
        <w:rPr>
          <w:b/>
          <w:bCs/>
        </w:rPr>
        <w:t xml:space="preserve">All</w:t>
      </w:r>
      <w:r>
        <w:t xml:space="preserve">, so that a non-critical app’s failure doesn’t strand a device, and don’t let users bypass the ESP on an installation error for the security-critical list. The ESP list filters which assigned apps are tracked; it doesn’t itself assign them.</w:t>
      </w:r>
      <w:r>
        <w:rPr>
          <w:rStyle w:val="FootnoteReference"/>
        </w:rPr>
        <w:footnoteReference w:id="81"/>
      </w:r>
    </w:p>
    <w:p>
      <w:pPr>
        <w:pStyle w:val="BodyText"/>
      </w:pPr>
      <w:r>
        <w:t xml:space="preserve">Device preparation doesn’t use the ESP. It applies only the apps and scripts selected in its policy during setup (up to 10 of each) and syncs policies assigned to the device group without tracking whether they’ve applied by the time the desktop appears.</w:t>
      </w:r>
      <w:r>
        <w:rPr>
          <w:rStyle w:val="FootnoteReference"/>
        </w:rPr>
        <w:footnoteReference w:id="82"/>
      </w:r>
      <w:r>
        <w:t xml:space="preserve"> </w:t>
      </w:r>
      <w:r>
        <w:t xml:space="preserve">On that path, the validation phase, not the setup screen, is what confirms the device reached its baseline.</w:t>
      </w:r>
    </w:p>
    <w:bookmarkEnd w:id="83"/>
    <w:bookmarkEnd w:id="84"/>
    <w:bookmarkStart w:id="95" w:name="X02d6d13e553e8d33e4f3fcaff9362b8f01ca1a6"/>
    <w:p>
      <w:pPr>
        <w:pStyle w:val="Heading2"/>
      </w:pPr>
      <w:r>
        <w:t xml:space="preserve">The compliance and configuration baseline</w:t>
      </w:r>
    </w:p>
    <w:p>
      <w:pPr>
        <w:pStyle w:val="FirstParagraph"/>
      </w:pPr>
      <w:r>
        <w:t xml:space="preserve">A net-new device should arrive at a known baseline before it’s used. The baseline has two halves.</w:t>
      </w:r>
    </w:p>
    <w:p>
      <w:pPr>
        <w:pStyle w:val="BodyText"/>
      </w:pPr>
      <w:r>
        <w:rPr>
          <w:b/>
          <w:bCs/>
        </w:rPr>
        <w:t xml:space="preserve">Compliance</w:t>
      </w:r>
      <w:r>
        <w:t xml:space="preserve">, which decides access. Set the tenant-wide</w:t>
      </w:r>
      <w:r>
        <w:t xml:space="preserve"> </w:t>
      </w:r>
      <w:r>
        <w:rPr>
          <w:b/>
          <w:bCs/>
        </w:rPr>
        <w:t xml:space="preserve">Mark devices with no compliance policy assigned as</w:t>
      </w:r>
      <w:r>
        <w:t xml:space="preserve"> </w:t>
      </w:r>
      <w:r>
        <w:t xml:space="preserve">to</w:t>
      </w:r>
      <w:r>
        <w:t xml:space="preserve"> </w:t>
      </w:r>
      <w:r>
        <w:rPr>
          <w:i/>
          <w:iCs/>
        </w:rPr>
        <w:t xml:space="preserve">Not compliant</w:t>
      </w:r>
      <w:r>
        <w:t xml:space="preserve">, so an unassigned device can’t pass Conditional Access by default; Microsoft recommends this whenever compliance feeds Conditional Access.</w:t>
      </w:r>
      <w:r>
        <w:rPr>
          <w:rStyle w:val="FootnoteReference"/>
        </w:rPr>
        <w:footnoteReference w:id="85"/>
      </w:r>
      <w:r>
        <w:t xml:space="preserve"> </w:t>
      </w:r>
      <w:r>
        <w:t xml:space="preserve">A Windows compliance policy for net-new devices typically requires BitLocker, Secure Boot and code integrity under device health; firewall, TPM, antivirus and antispyware under system security; Microsoft Defender Antimalware with current security intelligence and real-time protection; and a minimum OS version.</w:t>
      </w:r>
      <w:r>
        <w:rPr>
          <w:rStyle w:val="FootnoteReference"/>
        </w:rPr>
        <w:footnoteReference w:id="87"/>
      </w:r>
      <w:r>
        <w:t xml:space="preserve"> </w:t>
      </w:r>
      <w:r>
        <w:t xml:space="preserve">With Defender for Endpoint connected, add</w:t>
      </w:r>
      <w:r>
        <w:t xml:space="preserve"> </w:t>
      </w:r>
      <w:r>
        <w:rPr>
          <w:b/>
          <w:bCs/>
        </w:rPr>
        <w:t xml:space="preserve">Require the device to be at or under the machine risk score</w:t>
      </w:r>
      <w:r>
        <w:t xml:space="preserve">.</w:t>
      </w:r>
      <w:r>
        <w:rPr>
          <w:rStyle w:val="FootnoteReference"/>
        </w:rPr>
        <w:footnoteReference w:id="89"/>
      </w:r>
      <w:r>
        <w:t xml:space="preserve"> </w:t>
      </w:r>
      <w:r>
        <w:t xml:space="preserve">The access-policy side, Conditional Access requiring a compliant device, is in</w:t>
      </w:r>
      <w:r>
        <w:t xml:space="preserve"> </w:t>
      </w:r>
      <w:hyperlink r:id="rId91">
        <w:r>
          <w:rPr>
            <w:rStyle w:val="Hyperlink"/>
          </w:rPr>
          <w:t xml:space="preserve">Book 04</w:t>
        </w:r>
      </w:hyperlink>
      <w:r>
        <w:t xml:space="preserve">.</w:t>
      </w:r>
    </w:p>
    <w:p>
      <w:pPr>
        <w:pStyle w:val="BodyText"/>
      </w:pPr>
      <w:r>
        <w:rPr>
          <w:b/>
          <w:bCs/>
        </w:rPr>
        <w:t xml:space="preserve">Configuration</w:t>
      </w:r>
      <w:r>
        <w:t xml:space="preserve">, which sets the device up. Start from Microsoft’s security baselines in Intune: the Security Baseline for Windows 10 and later (version 25H2 is the latest Windows baseline) and the Microsoft Defender for Endpoint baseline. Existing baseline profiles don’t update to a new version automatically, and different baselines can set the same setting to different defaults, so review overlaps before you deploy more than one.</w:t>
      </w:r>
      <w:r>
        <w:rPr>
          <w:rStyle w:val="FootnoteReference"/>
        </w:rPr>
        <w:footnoteReference w:id="92"/>
      </w:r>
      <w:r>
        <w:t xml:space="preserve"> </w:t>
      </w:r>
      <w:r>
        <w:t xml:space="preserve">Then add BitLocker with recovery-key escrow to Entra ID, Windows Hello for Business (</w:t>
      </w:r>
      <w:hyperlink r:id="rId94">
        <w:r>
          <w:rPr>
            <w:rStyle w:val="Hyperlink"/>
          </w:rPr>
          <w:t xml:space="preserve">Chapter 10 of Book 02</w:t>
        </w:r>
      </w:hyperlink>
      <w:r>
        <w:t xml:space="preserve">), firewall profiles and Windows LAPS. Because these devices never had Group Policy, there’s no GPO conflict to resolve; that’s the payoff of Intune-first, and</w:t>
      </w:r>
      <w:r>
        <w:t xml:space="preserve"> </w:t>
      </w:r>
      <w:hyperlink r:id="rId16">
        <w:r>
          <w:rPr>
            <w:rStyle w:val="Hyperlink"/>
          </w:rPr>
          <w:t xml:space="preserve">Chapter 08</w:t>
        </w:r>
      </w:hyperlink>
      <w:r>
        <w:t xml:space="preserve"> </w:t>
      </w:r>
      <w:r>
        <w:t xml:space="preserve">covers the existing fleet where there is one.</w:t>
      </w:r>
    </w:p>
    <w:bookmarkEnd w:id="95"/>
    <w:bookmarkStart w:id="100" w:name="other-platforms"/>
    <w:p>
      <w:pPr>
        <w:pStyle w:val="Heading2"/>
      </w:pPr>
      <w:r>
        <w:t xml:space="preserve">Other platforms</w:t>
      </w:r>
    </w:p>
    <w:p>
      <w:pPr>
        <w:pStyle w:val="FirstParagraph"/>
      </w:pPr>
      <w:r>
        <w:t xml:space="preserve">The five-phase process is platform-neutral. Each platform has its own vendor program and its own carrier for the organizational assignment.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Platform</w:t>
            </w:r>
          </w:p>
        </w:tc>
        <w:tc>
          <w:tcPr/>
          <w:p>
            <w:pPr>
              <w:pStyle w:val="Compact"/>
            </w:pPr>
            <w:r>
              <w:t xml:space="preserve">Vendor program</w:t>
            </w:r>
          </w:p>
        </w:tc>
        <w:tc>
          <w:tcPr/>
          <w:p>
            <w:pPr>
              <w:pStyle w:val="Compact"/>
            </w:pPr>
            <w:r>
              <w:t xml:space="preserve">Assignment carrier</w:t>
            </w:r>
          </w:p>
        </w:tc>
        <w:tc>
          <w:tcPr/>
          <w:p>
            <w:pPr>
              <w:pStyle w:val="Compact"/>
            </w:pPr>
            <w:r>
              <w:t xml:space="preserve">Management state</w:t>
            </w:r>
          </w:p>
        </w:tc>
      </w:tr>
      <w:tr>
        <w:tc>
          <w:tcPr/>
          <w:p>
            <w:pPr>
              <w:pStyle w:val="Compact"/>
            </w:pPr>
            <w:r>
              <w:t xml:space="preserve">Windows endpoint</w:t>
            </w:r>
          </w:p>
        </w:tc>
        <w:tc>
          <w:tcPr/>
          <w:p>
            <w:pPr>
              <w:pStyle w:val="Compact"/>
            </w:pPr>
            <w:r>
              <w:t xml:space="preserve">Windows Autopilot (OEM or reseller registration) or Autopilot device preparation</w:t>
            </w:r>
          </w:p>
        </w:tc>
        <w:tc>
          <w:tcPr/>
          <w:p>
            <w:pPr>
              <w:pStyle w:val="Compact"/>
            </w:pPr>
            <w:r>
              <w:t xml:space="preserve">Group tag; or the mapping table for device preparation</w:t>
            </w:r>
          </w:p>
        </w:tc>
        <w:tc>
          <w:tcPr/>
          <w:p>
            <w:pPr>
              <w:pStyle w:val="Compact"/>
            </w:pPr>
            <w:r>
              <w:t xml:space="preserve">Microsoft Entra joined, Intune enrolled</w:t>
            </w:r>
          </w:p>
        </w:tc>
      </w:tr>
      <w:tr>
        <w:tc>
          <w:tcPr/>
          <w:p>
            <w:pPr>
              <w:pStyle w:val="Compact"/>
            </w:pPr>
            <w:r>
              <w:t xml:space="preserve">Microsoft Surface</w:t>
            </w:r>
          </w:p>
        </w:tc>
        <w:tc>
          <w:tcPr/>
          <w:p>
            <w:pPr>
              <w:pStyle w:val="Compact"/>
            </w:pPr>
            <w:r>
              <w:t xml:space="preserve">Surface registration through Microsoft or an authorized partner</w:t>
            </w:r>
          </w:p>
        </w:tc>
        <w:tc>
          <w:tcPr/>
          <w:p>
            <w:pPr>
              <w:pStyle w:val="Compact"/>
            </w:pPr>
            <w:r>
              <w:t xml:space="preserve">Group tag; DFCI profile for firmware settings</w:t>
            </w:r>
          </w:p>
        </w:tc>
        <w:tc>
          <w:tcPr/>
          <w:p>
            <w:pPr>
              <w:pStyle w:val="Compact"/>
            </w:pPr>
            <w:r>
              <w:t xml:space="preserve">Entra joined; firmware managed through DFCI</w:t>
            </w:r>
          </w:p>
        </w:tc>
      </w:tr>
      <w:tr>
        <w:tc>
          <w:tcPr/>
          <w:p>
            <w:pPr>
              <w:pStyle w:val="Compact"/>
            </w:pPr>
            <w:r>
              <w:t xml:space="preserve">macOS</w:t>
            </w:r>
          </w:p>
        </w:tc>
        <w:tc>
          <w:tcPr/>
          <w:p>
            <w:pPr>
              <w:pStyle w:val="Compact"/>
            </w:pPr>
            <w:r>
              <w:t xml:space="preserve">Apple Business Manager or Apple School Manager, Automated Device Enrollment</w:t>
            </w:r>
          </w:p>
        </w:tc>
        <w:tc>
          <w:tcPr/>
          <w:p>
            <w:pPr>
              <w:pStyle w:val="Compact"/>
            </w:pPr>
            <w:r>
              <w:t xml:space="preserve">Assignment to the Intune enrollment profile</w:t>
            </w:r>
          </w:p>
        </w:tc>
        <w:tc>
          <w:tcPr/>
          <w:p>
            <w:pPr>
              <w:pStyle w:val="Compact"/>
            </w:pPr>
            <w:r>
              <w:t xml:space="preserve">Supervised, ADE-enrolled</w:t>
            </w:r>
          </w:p>
        </w:tc>
      </w:tr>
      <w:tr>
        <w:tc>
          <w:tcPr/>
          <w:p>
            <w:pPr>
              <w:pStyle w:val="Compact"/>
            </w:pPr>
            <w:r>
              <w:t xml:space="preserve">iOS and iPadOS</w:t>
            </w:r>
          </w:p>
        </w:tc>
        <w:tc>
          <w:tcPr/>
          <w:p>
            <w:pPr>
              <w:pStyle w:val="Compact"/>
            </w:pPr>
            <w:r>
              <w:t xml:space="preserve">Apple Business Manager or Apple School Manager, Automated Device Enrollment</w:t>
            </w:r>
          </w:p>
        </w:tc>
        <w:tc>
          <w:tcPr/>
          <w:p>
            <w:pPr>
              <w:pStyle w:val="Compact"/>
            </w:pPr>
            <w:r>
              <w:t xml:space="preserve">Assignment to the Intune enrollment profile</w:t>
            </w:r>
          </w:p>
        </w:tc>
        <w:tc>
          <w:tcPr/>
          <w:p>
            <w:pPr>
              <w:pStyle w:val="Compact"/>
            </w:pPr>
            <w:r>
              <w:t xml:space="preserve">Supervised</w:t>
            </w:r>
          </w:p>
        </w:tc>
      </w:tr>
      <w:tr>
        <w:tc>
          <w:tcPr/>
          <w:p>
            <w:pPr>
              <w:pStyle w:val="Compact"/>
            </w:pPr>
            <w:r>
              <w:t xml:space="preserve">Android</w:t>
            </w:r>
          </w:p>
        </w:tc>
        <w:tc>
          <w:tcPr/>
          <w:p>
            <w:pPr>
              <w:pStyle w:val="Compact"/>
            </w:pPr>
            <w:r>
              <w:t xml:space="preserve">Android Enterprise zero-touch or Samsung Knox Mobile Enrollment</w:t>
            </w:r>
          </w:p>
        </w:tc>
        <w:tc>
          <w:tcPr/>
          <w:p>
            <w:pPr>
              <w:pStyle w:val="Compact"/>
            </w:pPr>
            <w:r>
              <w:t xml:space="preserve">Enrollment profile or managed configuration</w:t>
            </w:r>
          </w:p>
        </w:tc>
        <w:tc>
          <w:tcPr/>
          <w:p>
            <w:pPr>
              <w:pStyle w:val="Compact"/>
            </w:pPr>
            <w:r>
              <w:t xml:space="preserve">Fully managed (corporate-owned)</w:t>
            </w:r>
          </w:p>
        </w:tc>
      </w:tr>
      <w:tr>
        <w:tc>
          <w:tcPr/>
          <w:p>
            <w:pPr>
              <w:pStyle w:val="Compact"/>
            </w:pPr>
            <w:r>
              <w:t xml:space="preserve">Linux workstation</w:t>
            </w:r>
          </w:p>
        </w:tc>
        <w:tc>
          <w:tcPr/>
          <w:p>
            <w:pPr>
              <w:pStyle w:val="Compact"/>
            </w:pPr>
            <w:r>
              <w:t xml:space="preserve">Intune enrollment through the Microsoft Intune app</w:t>
            </w:r>
          </w:p>
        </w:tc>
        <w:tc>
          <w:tcPr/>
          <w:p>
            <w:pPr>
              <w:pStyle w:val="Compact"/>
            </w:pPr>
            <w:r>
              <w:t xml:space="preserve">Mapping table</w:t>
            </w:r>
          </w:p>
        </w:tc>
        <w:tc>
          <w:tcPr/>
          <w:p>
            <w:pPr>
              <w:pStyle w:val="Compact"/>
            </w:pPr>
            <w:r>
              <w:t xml:space="preserve">Intune managed</w:t>
            </w:r>
          </w:p>
        </w:tc>
      </w:tr>
      <w:tr>
        <w:tc>
          <w:tcPr/>
          <w:p>
            <w:pPr>
              <w:pStyle w:val="Compact"/>
            </w:pPr>
            <w:r>
              <w:t xml:space="preserve">Server (Windows Server 2025, Linux)</w:t>
            </w:r>
          </w:p>
        </w:tc>
        <w:tc>
          <w:tcPr/>
          <w:p>
            <w:pPr>
              <w:pStyle w:val="Compact"/>
            </w:pPr>
            <w:r>
              <w:t xml:space="preserve">Azure Arc onboarding</w:t>
            </w:r>
          </w:p>
        </w:tc>
        <w:tc>
          <w:tcPr/>
          <w:p>
            <w:pPr>
              <w:pStyle w:val="Compact"/>
            </w:pPr>
            <w:r>
              <w:t xml:space="preserve">Azure resource tag on the Arc machine</w:t>
            </w:r>
          </w:p>
        </w:tc>
        <w:tc>
          <w:tcPr/>
          <w:p>
            <w:pPr>
              <w:pStyle w:val="Compact"/>
            </w:pPr>
            <w:r>
              <w:t xml:space="preserve">Workgroup plus Arc; Entra ID sign-in on Windows Server 2025 (</w:t>
            </w:r>
            <w:hyperlink r:id="rId17">
              <w:r>
                <w:rPr>
                  <w:rStyle w:val="Hyperlink"/>
                </w:rPr>
                <w:t xml:space="preserve">Chapter 09</w:t>
              </w:r>
            </w:hyperlink>
            <w:r>
              <w:t xml:space="preserve">)</w:t>
            </w:r>
          </w:p>
        </w:tc>
      </w:tr>
    </w:tbl>
    <w:p>
      <w:pPr>
        <w:pStyle w:val="BodyText"/>
      </w:pPr>
      <w:r>
        <w:t xml:space="preserve">A few facts behind the table, current as of October 2026:</w:t>
      </w:r>
    </w:p>
    <w:p>
      <w:pPr>
        <w:pStyle w:val="Compact"/>
        <w:numPr>
          <w:ilvl w:val="0"/>
          <w:numId w:val="1005"/>
        </w:numPr>
      </w:pPr>
      <w:r>
        <w:t xml:space="preserve">Devices enrolled through an Apple device enrollment program, Windows Autopilot, Knox Mobile Enrollment, Android Enterprise corporate-owned methods and Google zero-touch are marked corporate-owned automatically.</w:t>
      </w:r>
      <w:r>
        <w:rPr>
          <w:rStyle w:val="FootnoteReference"/>
        </w:rPr>
        <w:footnoteReference w:id="96"/>
      </w:r>
    </w:p>
    <w:p>
      <w:pPr>
        <w:pStyle w:val="Compact"/>
        <w:numPr>
          <w:ilvl w:val="0"/>
          <w:numId w:val="1005"/>
        </w:numPr>
      </w:pPr>
      <w:r>
        <w:t xml:space="preserve">Intune supports Linux on Ubuntu Desktop 24.04 and 26.04 LTS and Red Hat Enterprise Linux 9 and 10.</w:t>
      </w:r>
      <w:r>
        <w:rPr>
          <w:rStyle w:val="FootnoteReference"/>
        </w:rPr>
        <w:footnoteReference w:id="97"/>
      </w:r>
    </w:p>
    <w:p>
      <w:pPr>
        <w:pStyle w:val="Compact"/>
        <w:numPr>
          <w:ilvl w:val="0"/>
          <w:numId w:val="1005"/>
        </w:numPr>
      </w:pPr>
      <w:r>
        <w:t xml:space="preserve">DFCI management for Surface works only with classic Autopilot; device preparation doesn’t support it. DFCI is in the planned list for GCC High and DoD.</w:t>
      </w:r>
      <w:r>
        <w:rPr>
          <w:rStyle w:val="FootnoteReference"/>
        </w:rPr>
        <w:footnoteReference w:id="98"/>
      </w:r>
      <w:r>
        <w:rPr>
          <w:rStyle w:val="FootnoteReference"/>
        </w:rPr>
        <w:footnoteReference w:id="99"/>
      </w:r>
    </w:p>
    <w:p>
      <w:pPr>
        <w:pStyle w:val="FirstParagraph"/>
      </w:pPr>
      <w:r>
        <w:t xml:space="preserve">The source’s Surface row named specific resellers and firmware security features; those are dropped as vendor positioning that the program doesn’t need to rely on.</w:t>
      </w:r>
    </w:p>
    <w:bookmarkEnd w:id="100"/>
    <w:bookmarkStart w:id="104" w:name="the-three-exception-paths"/>
    <w:p>
      <w:pPr>
        <w:pStyle w:val="Heading2"/>
      </w:pPr>
      <w:r>
        <w:t xml:space="preserve">The three exception paths</w:t>
      </w:r>
    </w:p>
    <w:p>
      <w:pPr>
        <w:pStyle w:val="FirstParagraph"/>
      </w:pPr>
      <w:r>
        <w:t xml:space="preserve">Doctrine carve-outs for cases that can’t follow the main path. Each needs written justification, a compensating control and an audit entry.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Path</w:t>
            </w:r>
          </w:p>
        </w:tc>
        <w:tc>
          <w:tcPr/>
          <w:p>
            <w:pPr>
              <w:pStyle w:val="Compact"/>
            </w:pPr>
            <w:r>
              <w:t xml:space="preserve">Applies to</w:t>
            </w:r>
          </w:p>
        </w:tc>
        <w:tc>
          <w:tcPr/>
          <w:p>
            <w:pPr>
              <w:pStyle w:val="Compact"/>
            </w:pPr>
            <w:r>
              <w:t xml:space="preserve">Why it’s permissible</w:t>
            </w:r>
          </w:p>
        </w:tc>
      </w:tr>
      <w:tr>
        <w:tc>
          <w:tcPr/>
          <w:p>
            <w:pPr>
              <w:pStyle w:val="Compact"/>
            </w:pPr>
            <w:r>
              <w:t xml:space="preserve">A. User-driven enrollment for personal devices</w:t>
            </w:r>
          </w:p>
        </w:tc>
        <w:tc>
          <w:tcPr/>
          <w:p>
            <w:pPr>
              <w:pStyle w:val="Compact"/>
            </w:pPr>
            <w:r>
              <w:t xml:space="preserve">Personally owned devices enrolled into a work profile or partition (iOS user enrollment, Android work profile, Windows registered)</w:t>
            </w:r>
          </w:p>
        </w:tc>
        <w:tc>
          <w:tcPr/>
          <w:p>
            <w:pPr>
              <w:pStyle w:val="Compact"/>
            </w:pPr>
            <w:r>
              <w:t xml:space="preserve">Refusing to govern personal devices pushes users to unmanaged access through personal browsers. Governed at a lower assurance level is better than ungoverned.</w:t>
            </w:r>
          </w:p>
        </w:tc>
      </w:tr>
      <w:tr>
        <w:tc>
          <w:tcPr/>
          <w:p>
            <w:pPr>
              <w:pStyle w:val="Compact"/>
            </w:pPr>
            <w:r>
              <w:t xml:space="preserve">B. Linux endpoint with an Arc fallback</w:t>
            </w:r>
          </w:p>
        </w:tc>
        <w:tc>
          <w:tcPr/>
          <w:p>
            <w:pPr>
              <w:pStyle w:val="Compact"/>
            </w:pPr>
            <w:r>
              <w:t xml:space="preserve">Linux endpoints that can’t use Intune’s Linux management (developer workstations that need root, embedded Linux, air-gapped hosts)</w:t>
            </w:r>
          </w:p>
        </w:tc>
        <w:tc>
          <w:tcPr/>
          <w:p>
            <w:pPr>
              <w:pStyle w:val="Compact"/>
            </w:pPr>
            <w:r>
              <w:t xml:space="preserve">Intune’s Linux support covers a limited set of distributions and desktop configurations;</w:t>
            </w:r>
            <w:r>
              <w:rPr>
                <w:rStyle w:val="FootnoteReference"/>
              </w:rPr>
              <w:footnoteReference w:id="101"/>
            </w:r>
            <w:r>
              <w:t xml:space="preserve"> </w:t>
            </w:r>
            <w:r>
              <w:t xml:space="preserve">Arc with Azure Policy machine configuration is the substitute governance plane.</w:t>
            </w:r>
          </w:p>
        </w:tc>
      </w:tr>
      <w:tr>
        <w:tc>
          <w:tcPr/>
          <w:p>
            <w:pPr>
              <w:pStyle w:val="Compact"/>
            </w:pPr>
            <w:r>
              <w:t xml:space="preserve">C. Pre-2025 Windows servers</w:t>
            </w:r>
          </w:p>
        </w:tc>
        <w:tc>
          <w:tcPr/>
          <w:p>
            <w:pPr>
              <w:pStyle w:val="Compact"/>
            </w:pPr>
            <w:r>
              <w:t xml:space="preserve">Windows Server 2019 and 2022 hosts whose OS upgrade isn’t yet feasible</w:t>
            </w:r>
          </w:p>
        </w:tc>
        <w:tc>
          <w:tcPr/>
          <w:p>
            <w:pPr>
              <w:pStyle w:val="Compact"/>
            </w:pPr>
            <w:r>
              <w:t xml:space="preserve">Entra ID sign-in for Arc-enabled Windows servers requires Windows Server 2025 or later with Desktop Experience.</w:t>
            </w:r>
            <w:r>
              <w:rPr>
                <w:rStyle w:val="FootnoteReference"/>
              </w:rPr>
              <w:footnoteReference w:id="102"/>
            </w:r>
            <w:r>
              <w:t xml:space="preserve"> </w:t>
            </w:r>
            <w:r>
              <w:t xml:space="preserve">Arc-managed without Entra ID sign-in is an acceptable interim state.</w:t>
            </w:r>
          </w:p>
        </w:tc>
      </w:tr>
    </w:tbl>
    <w:p>
      <w:pPr>
        <w:pStyle w:val="BodyText"/>
      </w:pPr>
      <w:r>
        <w:t xml:space="preserve">Exception C is restated from the source, which cited a program decision. The underlying fact is Microsoft’s support boundary, footnoted above.</w:t>
      </w:r>
    </w:p>
    <w:bookmarkEnd w:id="104"/>
    <w:bookmarkStart w:id="105" w:name="devices-without-a-procurement-record"/>
    <w:p>
      <w:pPr>
        <w:pStyle w:val="Heading2"/>
      </w:pPr>
      <w:r>
        <w:t xml:space="preserve">Devices without a procurement record</w:t>
      </w:r>
    </w:p>
    <w:p>
      <w:pPr>
        <w:pStyle w:val="FirstParagraph"/>
      </w:pPr>
      <w:r>
        <w:t xml:space="preserve">Devices that predate the process, or arrive outside normal procurement, fall through to user derivation or the unpositioned marker. They surface as findings for governance review, with three possible outcomes: file a procurement record retroactively, reclassify the asset, or quarantine it for disposition.</w:t>
      </w:r>
    </w:p>
    <w:bookmarkEnd w:id="105"/>
    <w:bookmarkStart w:id="109" w:name="validation-drift-classes-and-evidence"/>
    <w:p>
      <w:pPr>
        <w:pStyle w:val="Heading2"/>
      </w:pPr>
      <w:r>
        <w:t xml:space="preserve">Validation, drift classes and evidence</w:t>
      </w:r>
    </w:p>
    <w:p>
      <w:pPr>
        <w:pStyle w:val="FirstParagraph"/>
      </w:pPr>
      <w:r>
        <w:t xml:space="preserve">Phase 5 runs platform-neutral and platform-specific checks. Failures quarantine the device under pillar 5. The doctrine adds five drift classes, which are the program’s own taxonomy: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Drift class</w:t>
            </w:r>
          </w:p>
        </w:tc>
        <w:tc>
          <w:tcPr/>
          <w:p>
            <w:pPr>
              <w:pStyle w:val="Compact"/>
            </w:pPr>
            <w:r>
              <w:t xml:space="preserve">What it detects</w:t>
            </w:r>
          </w:p>
        </w:tc>
      </w:tr>
      <w:tr>
        <w:tc>
          <w:tcPr/>
          <w:p>
            <w:pPr>
              <w:pStyle w:val="Compact"/>
            </w:pPr>
            <w:r>
              <w:rPr>
                <w:rStyle w:val="VerbatimChar"/>
              </w:rPr>
              <w:t xml:space="preserve">DRIFT-PROCUREMENT-MISMATCH</w:t>
            </w:r>
          </w:p>
        </w:tc>
        <w:tc>
          <w:tcPr/>
          <w:p>
            <w:pPr>
              <w:pStyle w:val="Compact"/>
            </w:pPr>
            <w:r>
              <w:t xml:space="preserve">The device’s organizational assignment differs from the procurement record</w:t>
            </w:r>
          </w:p>
        </w:tc>
      </w:tr>
      <w:tr>
        <w:tc>
          <w:tcPr/>
          <w:p>
            <w:pPr>
              <w:pStyle w:val="Compact"/>
            </w:pPr>
            <w:r>
              <w:rPr>
                <w:rStyle w:val="VerbatimChar"/>
              </w:rPr>
              <w:t xml:space="preserve">DRIFT-VENDOR-PROGRAM-CARRIER</w:t>
            </w:r>
          </w:p>
        </w:tc>
        <w:tc>
          <w:tcPr/>
          <w:p>
            <w:pPr>
              <w:pStyle w:val="Compact"/>
            </w:pPr>
            <w:r>
              <w:t xml:space="preserve">The assignment in the vendor program record (Autopilot group tag, Apple assignment and so on) differs from the procurement record, or is missing</w:t>
            </w:r>
          </w:p>
        </w:tc>
      </w:tr>
      <w:tr>
        <w:tc>
          <w:tcPr/>
          <w:p>
            <w:pPr>
              <w:pStyle w:val="Compact"/>
            </w:pPr>
            <w:r>
              <w:rPr>
                <w:rStyle w:val="VerbatimChar"/>
              </w:rPr>
              <w:t xml:space="preserve">DRIFT-ENROLLMENT-VECTOR</w:t>
            </w:r>
          </w:p>
        </w:tc>
        <w:tc>
          <w:tcPr/>
          <w:p>
            <w:pPr>
              <w:pStyle w:val="Compact"/>
            </w:pPr>
            <w:r>
              <w:t xml:space="preserve">The device enrolled through a non-zero-touch path without an exception grant</w:t>
            </w:r>
          </w:p>
        </w:tc>
      </w:tr>
      <w:tr>
        <w:tc>
          <w:tcPr/>
          <w:p>
            <w:pPr>
              <w:pStyle w:val="Compact"/>
            </w:pPr>
            <w:r>
              <w:rPr>
                <w:rStyle w:val="VerbatimChar"/>
              </w:rPr>
              <w:t xml:space="preserve">DRIFT-CO-MANAGEMENT-NEW</w:t>
            </w:r>
          </w:p>
        </w:tc>
        <w:tc>
          <w:tcPr/>
          <w:p>
            <w:pPr>
              <w:pStyle w:val="Compact"/>
            </w:pPr>
            <w:r>
              <w:t xml:space="preserve">A net-new Windows endpoint landed in Configuration Manager co-management instead of Intune-first</w:t>
            </w:r>
          </w:p>
        </w:tc>
      </w:tr>
      <w:tr>
        <w:tc>
          <w:tcPr/>
          <w:p>
            <w:pPr>
              <w:pStyle w:val="Compact"/>
            </w:pPr>
            <w:r>
              <w:rPr>
                <w:rStyle w:val="VerbatimChar"/>
              </w:rPr>
              <w:t xml:space="preserve">DRIFT-PROCUREMENT-RECORD-ABSENT</w:t>
            </w:r>
          </w:p>
        </w:tc>
        <w:tc>
          <w:tcPr/>
          <w:p>
            <w:pPr>
              <w:pStyle w:val="Compact"/>
            </w:pPr>
            <w:r>
              <w:t xml:space="preserve">A device enrolled in Intune with no matching procurement record</w:t>
            </w:r>
          </w:p>
        </w:tc>
      </w:tr>
    </w:tbl>
    <w:p>
      <w:pPr>
        <w:pStyle w:val="BodyText"/>
      </w:pPr>
      <w:r>
        <w:t xml:space="preserve">The keys these checks join on, and a read-only script that finds three of the five, are in</w:t>
      </w:r>
      <w:r>
        <w:t xml:space="preserve"> </w:t>
      </w:r>
      <w:hyperlink r:id="rId74">
        <w:r>
          <w:rPr>
            <w:rStyle w:val="Hyperlink"/>
          </w:rPr>
          <w:t xml:space="preserve">Chapter 03</w:t>
        </w:r>
      </w:hyperlink>
      <w:r>
        <w:t xml:space="preserve">. Each detection produces a signed evidence artifact in the governance repository. The program maps the evidence to the NIST SP 800-53 controls AC-2, AC-19, CM-2, CM-7, CM-8, IA-3, MA-2 and SC-15 for its FedRAMP Moderate boundary.</w:t>
      </w:r>
      <w:r>
        <w:rPr>
          <w:rStyle w:val="FootnoteReference"/>
        </w:rPr>
        <w:footnoteReference w:id="106"/>
      </w:r>
      <w:r>
        <w:t xml:space="preserve"> </w:t>
      </w:r>
      <w:r>
        <w:t xml:space="preserve">That mapping is the program’s assertion for its own assessors, not a statement that these artifacts satisfy the controls by themselves. How the evidence is produced and presented is covered in</w:t>
      </w:r>
      <w:r>
        <w:t xml:space="preserve"> </w:t>
      </w:r>
      <w:hyperlink r:id="rId108">
        <w:r>
          <w:rPr>
            <w:rStyle w:val="Hyperlink"/>
          </w:rPr>
          <w:t xml:space="preserve">Chapter 10</w:t>
        </w:r>
      </w:hyperlink>
      <w:r>
        <w:t xml:space="preserve">.</w:t>
      </w:r>
    </w:p>
    <w:bookmarkEnd w:id="109"/>
    <w:bookmarkStart w:id="115" w:name="what-this-chapter-establishes"/>
    <w:p>
      <w:pPr>
        <w:pStyle w:val="Heading2"/>
      </w:pPr>
      <w:r>
        <w:t xml:space="preserve">What this chapter establishes</w:t>
      </w:r>
    </w:p>
    <w:p>
      <w:pPr>
        <w:pStyle w:val="Compact"/>
        <w:numPr>
          <w:ilvl w:val="0"/>
          <w:numId w:val="1006"/>
        </w:numPr>
      </w:pPr>
      <w:r>
        <w:t xml:space="preserve">A net-new device is governed from first power-on. There’s no domain join, co-management or unassigned state on the way.</w:t>
      </w:r>
    </w:p>
    <w:p>
      <w:pPr>
        <w:pStyle w:val="Compact"/>
        <w:numPr>
          <w:ilvl w:val="0"/>
          <w:numId w:val="1006"/>
        </w:numPr>
      </w:pPr>
      <w:r>
        <w:t xml:space="preserve">The organizational assignment is set at the purchase order and carried by the vendor program, with an explicit unpositioned marker when nothing can supply it.</w:t>
      </w:r>
    </w:p>
    <w:p>
      <w:pPr>
        <w:pStyle w:val="Compact"/>
        <w:numPr>
          <w:ilvl w:val="0"/>
          <w:numId w:val="1006"/>
        </w:numPr>
      </w:pPr>
      <w:r>
        <w:t xml:space="preserve">In a GCC tenant, classic Autopilot with Entra join and OEM or reseller registration is the default, because its registration carries the procurement attribute; device preparation needs the attribute carried by the mapping table.</w:t>
      </w:r>
    </w:p>
    <w:p>
      <w:pPr>
        <w:pStyle w:val="Compact"/>
        <w:numPr>
          <w:ilvl w:val="0"/>
          <w:numId w:val="1006"/>
        </w:numPr>
      </w:pPr>
      <w:r>
        <w:t xml:space="preserve">Blocking personal Windows enrollment turns an unregistered device into an enrollment failure, which is the doctrine’s quarantine in practice.</w:t>
      </w:r>
    </w:p>
    <w:p>
      <w:pPr>
        <w:pStyle w:val="Compact"/>
        <w:numPr>
          <w:ilvl w:val="0"/>
          <w:numId w:val="1006"/>
        </w:numPr>
      </w:pPr>
      <w:r>
        <w:t xml:space="preserve">Five drift classes catch the devices that slipped through, and they join on the keys from</w:t>
      </w:r>
      <w:r>
        <w:t xml:space="preserve"> </w:t>
      </w:r>
      <w:hyperlink r:id="rId74">
        <w:r>
          <w:rPr>
            <w:rStyle w:val="Hyperlink"/>
          </w:rPr>
          <w:t xml:space="preserve">Chapter 03</w:t>
        </w:r>
      </w:hyperlink>
      <w:r>
        <w:t xml:space="preserve">.</w:t>
      </w:r>
    </w:p>
    <w:p>
      <w:pPr>
        <w:pStyle w:val="FirstParagraph"/>
      </w:pPr>
      <w:hyperlink r:id="rId110">
        <w:r>
          <w:rPr>
            <w:rStyle w:val="Hyperlink"/>
          </w:rPr>
          <w:t xml:space="preserve">Chapter 05</w:t>
        </w:r>
      </w:hyperlink>
      <w:r>
        <w:t xml:space="preserve"> </w:t>
      </w:r>
      <w:r>
        <w:t xml:space="preserve">takes up how the existing fleet reaches the same end state.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2" name="Picture"/>
                  <a:graphic>
                    <a:graphicData uri="http://schemas.openxmlformats.org/drawingml/2006/picture">
                      <pic:pic>
                        <pic:nvPicPr>
                          <pic:cNvPr descr="/opt/quarto/share/formats/docx/tip.png" id="113" name="Picture"/>
                          <pic:cNvPicPr>
                            <a:picLocks noChangeArrowheads="1" noChangeAspect="1"/>
                          </pic:cNvPicPr>
                        </pic:nvPicPr>
                        <pic:blipFill>
                          <a:blip r:embed="rId1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4">
              <w:r>
                <w:rPr>
                  <w:rStyle w:val="Hyperlink"/>
                </w:rPr>
                <w:t xml:space="preserve">← Previous: Chapter 03 — Where Device and Server Data Lives</w:t>
              </w:r>
            </w:hyperlink>
            <w:r>
              <w:t xml:space="preserve"> </w:t>
            </w:r>
            <w:r>
              <w:t xml:space="preserve">·</w:t>
            </w:r>
            <w:r>
              <w:t xml:space="preserve"> </w:t>
            </w:r>
            <w:hyperlink r:id="rId114">
              <w:r>
                <w:rPr>
                  <w:rStyle w:val="Hyperlink"/>
                </w:rPr>
                <w:t xml:space="preserve">Book index</w:t>
              </w:r>
            </w:hyperlink>
            <w:r>
              <w:t xml:space="preserve"> </w:t>
            </w:r>
            <w:r>
              <w:t xml:space="preserve">·</w:t>
            </w:r>
            <w:r>
              <w:t xml:space="preserve"> </w:t>
            </w:r>
            <w:hyperlink r:id="rId110">
              <w:r>
                <w:rPr>
                  <w:rStyle w:val="Hyperlink"/>
                </w:rPr>
                <w:t xml:space="preserve">Next: Chapter 05 — The Governed, Manual and Retrofit Paths →</w:t>
              </w:r>
            </w:hyperlink>
          </w:p>
          <w:p/>
        </w:tc>
      </w:tr>
    </w:tbl>
    <w:bookmarkEnd w:id="115"/>
    <w:bookmarkEnd w:id="1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r>
        <w:t xml:space="preserve">“What is a device identity?,”</w:t>
      </w:r>
      <w:r>
        <w:t xml:space="preserve"> </w:t>
      </w:r>
      <w:hyperlink r:id="rId20">
        <w:r>
          <w:rPr>
            <w:rStyle w:val="Hyperlink"/>
          </w:rPr>
          <w:t xml:space="preserve">https://learn.microsoft.com/entra/identity/devices/overview</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5">
        <w:r>
          <w:rPr>
            <w:rStyle w:val="Hyperlink"/>
          </w:rPr>
          <w:t xml:space="preserve">https://learn.microsoft.com/intune/fundamentals/ref-supported-platforms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27">
        <w:r>
          <w:rPr>
            <w:rStyle w:val="Hyperlink"/>
          </w:rPr>
          <w:t xml:space="preserve">https://learn.microsoft.com/intune/device-security/microsoft-defender/security-settings-management</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35">
        <w:r>
          <w:rPr>
            <w:rStyle w:val="Hyperlink"/>
          </w:rPr>
          <w:t xml:space="preserve">https://learn.microsoft.com/autopilot/registration-overview</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“Windows Autopilot device preparation FAQ,”</w:t>
      </w:r>
      <w:r>
        <w:t xml:space="preserve"> </w:t>
      </w:r>
      <w:hyperlink r:id="rId39">
        <w:r>
          <w:rPr>
            <w:rStyle w:val="Hyperlink"/>
          </w:rPr>
          <w:t xml:space="preserve">https://learn.microsoft.com/autopilot/device-preparation/faq</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41">
        <w:r>
          <w:rPr>
            <w:rStyle w:val="Hyperlink"/>
          </w:rPr>
          <w:t xml:space="preserve">https://learn.microsoft.com/autopilot/device-preparation/compare</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43">
        <w:r>
          <w:rPr>
            <w:rStyle w:val="Hyperlink"/>
          </w:rPr>
          <w:t xml:space="preserve">https://learn.microsoft.com/intune/fundamentals/government-service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“Overview of Windows Autopilot device preparation,”</w:t>
      </w:r>
      <w:r>
        <w:t xml:space="preserve"> </w:t>
      </w:r>
      <w:hyperlink r:id="rId45">
        <w:r>
          <w:rPr>
            <w:rStyle w:val="Hyperlink"/>
          </w:rPr>
          <w:t xml:space="preserve">https://learn.microsoft.com/autopilot/device-preparation/overview</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“Windows Autopilot device preparation requirements,”</w:t>
      </w:r>
      <w:r>
        <w:t xml:space="preserve"> </w:t>
      </w:r>
      <w:hyperlink r:id="rId47">
        <w:r>
          <w:rPr>
            <w:rStyle w:val="Hyperlink"/>
          </w:rPr>
          <w:t xml:space="preserve">https://learn.microsoft.com/autopilot/device-preparation/requirements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“OEM registration,”</w:t>
      </w:r>
      <w:r>
        <w:t xml:space="preserve"> </w:t>
      </w:r>
      <w:hyperlink r:id="rId50">
        <w:r>
          <w:rPr>
            <w:rStyle w:val="Hyperlink"/>
          </w:rPr>
          <w:t xml:space="preserve">https://learn.microsoft.com/autopilot/oem-registration</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“Manual registration overview,”</w:t>
      </w:r>
      <w:r>
        <w:t xml:space="preserve"> </w:t>
      </w:r>
      <w:hyperlink r:id="rId52">
        <w:r>
          <w:rPr>
            <w:rStyle w:val="Hyperlink"/>
          </w:rPr>
          <w:t xml:space="preserve">https://learn.microsoft.com/autopilot/manual-registration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“Windows Autopilot for HoloLens 2,”</w:t>
      </w:r>
      <w:r>
        <w:t xml:space="preserve"> </w:t>
      </w:r>
      <w:r>
        <w:t xml:space="preserve">create a device group (group tag maps to the OrderID attribute),</w:t>
      </w:r>
      <w:r>
        <w:t xml:space="preserve"> </w:t>
      </w:r>
      <w:hyperlink r:id="rId58">
        <w:r>
          <w:rPr>
            <w:rStyle w:val="Hyperlink"/>
          </w:rPr>
          <w:t xml:space="preserve">https://learn.microsoft.com/hololens/hololens2-autopilot#configuring-autopilot-for-hololens-2</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rules for devices,</w:t>
      </w:r>
      <w:r>
        <w:t xml:space="preserve"> </w:t>
      </w:r>
      <w:hyperlink r:id="rId63">
        <w:r>
          <w:rPr>
            <w:rStyle w:val="Hyperlink"/>
          </w:rPr>
          <w:t xml:space="preserve">https://learn.microsoft.com/entra/identity/users/groups-dynamic-membership#rules-for-devices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“What are enrollment restrictions?,”</w:t>
      </w:r>
      <w:r>
        <w:t xml:space="preserve"> </w:t>
      </w:r>
      <w:hyperlink r:id="rId66">
        <w:r>
          <w:rPr>
            <w:rStyle w:val="Hyperlink"/>
          </w:rPr>
          <w:t xml:space="preserve">https://learn.microsoft.com/intune/device-enrollment/restrictions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“Identify devices as corporate-owned,”</w:t>
      </w:r>
      <w:r>
        <w:t xml:space="preserve"> </w:t>
      </w:r>
      <w:hyperlink r:id="rId68">
        <w:r>
          <w:rPr>
            <w:rStyle w:val="Hyperlink"/>
          </w:rPr>
          <w:t xml:space="preserve">https://learn.microsoft.com/intune/device-enrollment/add-corporate-identifiers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“Unblock Windows</w:t>
      </w:r>
      <w:r>
        <w:t xml:space="preserve"> </w:t>
      </w:r>
      <w:r>
        <w:t xml:space="preserve">‘Set up for work or school’</w:t>
      </w:r>
      <w:r>
        <w:t xml:space="preserve"> </w:t>
      </w:r>
      <w:r>
        <w:t xml:space="preserve">enrollment,”</w:t>
      </w:r>
      <w:r>
        <w:t xml:space="preserve"> </w:t>
      </w:r>
      <w:hyperlink r:id="rId70">
        <w:r>
          <w:rPr>
            <w:rStyle w:val="Hyperlink"/>
          </w:rPr>
          <w:t xml:space="preserve">https://learn.microsoft.com/troubleshoot/mem/intune/device-enrollment/troubleshoot-windows-work-school</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“User-driven Microsoft Entra join: Create and assign user-driven Microsoft Entra join Windows Autopilot profile,”</w:t>
      </w:r>
      <w:r>
        <w:t xml:space="preserve"> </w:t>
      </w:r>
      <w:hyperlink r:id="rId73">
        <w:r>
          <w:rPr>
            <w:rStyle w:val="Hyperlink"/>
          </w:rPr>
          <w:t xml:space="preserve">https://learn.microsoft.com/autopilot/tutorial/user-driven/azure-ad-join-autopilot-profile</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43">
        <w:r>
          <w:rPr>
            <w:rStyle w:val="Hyperlink"/>
          </w:rPr>
          <w:t xml:space="preserve">https://learn.microsoft.com/intune/fundamentals/government-service</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“User-driven Microsoft Entra join: Configure and assign the Enrollment Status Page (ESP),”</w:t>
      </w:r>
      <w:r>
        <w:t xml:space="preserve"> </w:t>
      </w:r>
      <w:hyperlink r:id="rId78">
        <w:r>
          <w:rPr>
            <w:rStyle w:val="Hyperlink"/>
          </w:rPr>
          <w:t xml:space="preserve">https://learn.microsoft.com/autopilot/tutorial/user-driven/azure-ad-join-esp</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“Set up the Enrollment Status Page,”</w:t>
      </w:r>
      <w:r>
        <w:t xml:space="preserve"> </w:t>
      </w:r>
      <w:hyperlink r:id="rId80">
        <w:r>
          <w:rPr>
            <w:rStyle w:val="Hyperlink"/>
          </w:rPr>
          <w:t xml:space="preserve">https://learn.microsoft.com/intune/device-enrollment/windows/setup-status-page</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“Set up the Enrollment Status Page,”</w:t>
      </w:r>
      <w:r>
        <w:t xml:space="preserve"> </w:t>
      </w:r>
      <w:hyperlink r:id="rId80">
        <w:r>
          <w:rPr>
            <w:rStyle w:val="Hyperlink"/>
          </w:rPr>
          <w:t xml:space="preserve">https://learn.microsoft.com/intune/device-enrollment/windows/setup-status-page</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“Overview of Windows Autopilot device preparation,”</w:t>
      </w:r>
      <w:r>
        <w:t xml:space="preserve"> </w:t>
      </w:r>
      <w:hyperlink r:id="rId45">
        <w:r>
          <w:rPr>
            <w:rStyle w:val="Hyperlink"/>
          </w:rPr>
          <w:t xml:space="preserve">https://learn.microsoft.com/autopilot/device-preparation/overview</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compliance policy settings,</w:t>
      </w:r>
      <w:r>
        <w:t xml:space="preserve"> </w:t>
      </w:r>
      <w:hyperlink r:id="rId86">
        <w:r>
          <w:rPr>
            <w:rStyle w:val="Hyperlink"/>
          </w:rPr>
          <w:t xml:space="preserve">https://learn.microsoft.com/intune/device-security/compliance/overview#compliance-policy-settings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“Device management and application management in Microsoft 365 Business Premium,”</w:t>
      </w:r>
      <w:r>
        <w:t xml:space="preserve"> </w:t>
      </w:r>
      <w:r>
        <w:t xml:space="preserve">create device compliance policies,</w:t>
      </w:r>
      <w:r>
        <w:t xml:space="preserve"> </w:t>
      </w:r>
      <w:hyperlink r:id="rId88">
        <w:r>
          <w:rPr>
            <w:rStyle w:val="Hyperlink"/>
          </w:rPr>
          <w:t xml:space="preserve">https://learn.microsoft.com/microsoft-365/admin/security-and-compliance/m365bp-devices-enrollment?view=o365-worldwide</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Microsoft Defender for Endpoint rules,</w:t>
      </w:r>
      <w:r>
        <w:t xml:space="preserve"> </w:t>
      </w:r>
      <w:hyperlink r:id="rId90">
        <w:r>
          <w:rPr>
            <w:rStyle w:val="Hyperlink"/>
          </w:rPr>
          <w:t xml:space="preserve">https://learn.microsoft.com/intune/device-security/compliance/ref-windows-settings#microsoft-defender-for-endpoint</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“Use security baselines to help secure Windows devices you manage with Microsoft Intune,”</w:t>
      </w:r>
      <w:r>
        <w:t xml:space="preserve"> </w:t>
      </w:r>
      <w:hyperlink r:id="rId93">
        <w:r>
          <w:rPr>
            <w:rStyle w:val="Hyperlink"/>
          </w:rPr>
          <w:t xml:space="preserve">https://learn.microsoft.com/intune/device-security/security-baselines/overview</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“Identify devices as corporate-owned,”</w:t>
      </w:r>
      <w:r>
        <w:t xml:space="preserve"> </w:t>
      </w:r>
      <w:hyperlink r:id="rId68">
        <w:r>
          <w:rPr>
            <w:rStyle w:val="Hyperlink"/>
          </w:rPr>
          <w:t xml:space="preserve">https://learn.microsoft.com/intune/device-enrollment/add-corporate-identifiers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5">
        <w:r>
          <w:rPr>
            <w:rStyle w:val="Hyperlink"/>
          </w:rPr>
          <w:t xml:space="preserve">https://learn.microsoft.com/intune/fundamentals/ref-supported-platforms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41">
        <w:r>
          <w:rPr>
            <w:rStyle w:val="Hyperlink"/>
          </w:rPr>
          <w:t xml:space="preserve">https://learn.microsoft.com/autopilot/device-preparation/compare</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43">
        <w:r>
          <w:rPr>
            <w:rStyle w:val="Hyperlink"/>
          </w:rPr>
          <w:t xml:space="preserve">https://learn.microsoft.com/intune/fundamentals/government-service</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5">
        <w:r>
          <w:rPr>
            <w:rStyle w:val="Hyperlink"/>
          </w:rPr>
          <w:t xml:space="preserve">https://learn.microsoft.com/intune/fundamentals/ref-supported-platforms</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103">
        <w:r>
          <w:rPr>
            <w:rStyle w:val="Hyperlink"/>
          </w:rPr>
          <w:t xml:space="preserve">https://learn.microsoft.com/entra/identity/devices/howto-arc-sign-in-windows</w:t>
        </w:r>
      </w:hyperlink>
      <w:r>
        <w:t xml:space="preserve"> </w:t>
      </w:r>
      <w:r>
        <w:t xml:space="preserve">(accessed Oct 20, 2026).</w:t>
      </w:r>
    </w:p>
  </w:footnote>
  <w:footnote w:id="10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107">
        <w:r>
          <w:rPr>
            <w:rStyle w:val="Hyperlink"/>
          </w:rPr>
          <w:t xml:space="preserve">https://csrc.nist.gov/pubs/sp/800/53/r5/upd1/final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3" Target="media/rId53.svg" /><Relationship Type="http://schemas.openxmlformats.org/officeDocument/2006/relationships/image" Id="rId30" Target="media/rId30.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111" Target="media/rId111.png" /><Relationship Type="http://schemas.openxmlformats.org/officeDocument/2006/relationships/image" Id="rId59" Target="media/rId59.png" /><Relationship Type="http://schemas.openxmlformats.org/officeDocument/2006/relationships/hyperlink" Id="rId18" Target="../b02-identity/04-the-hidden-migration-surface.md" TargetMode="External" /><Relationship Type="http://schemas.openxmlformats.org/officeDocument/2006/relationships/hyperlink" Id="rId94" Target="../b02-identity/10-migrating-and-governing.md" TargetMode="External" /><Relationship Type="http://schemas.openxmlformats.org/officeDocument/2006/relationships/hyperlink" Id="rId91" Target="../b04-access/index.md" TargetMode="External" /><Relationship Type="http://schemas.openxmlformats.org/officeDocument/2006/relationships/hyperlink" Id="rId21" Target="02-the-hybrid-join-trap.md" TargetMode="External" /><Relationship Type="http://schemas.openxmlformats.org/officeDocument/2006/relationships/hyperlink" Id="rId74" Target="03-where-device-and-server-data-lives.md" TargetMode="External" /><Relationship Type="http://schemas.openxmlformats.org/officeDocument/2006/relationships/hyperlink" Id="rId110" Target="05-the-governed-manual-and-retrofit-paths.md" TargetMode="External" /><Relationship Type="http://schemas.openxmlformats.org/officeDocument/2006/relationships/hyperlink" Id="rId15" Target="07-the-gpo-sunset-program.md" TargetMode="External" /><Relationship Type="http://schemas.openxmlformats.org/officeDocument/2006/relationships/hyperlink" Id="rId16" Target="08-gpo-to-intune-policy-migration.md" TargetMode="External" /><Relationship Type="http://schemas.openxmlformats.org/officeDocument/2006/relationships/hyperlink" Id="rId17" Target="09-servers-under-azure-arc.md" TargetMode="External" /><Relationship Type="http://schemas.openxmlformats.org/officeDocument/2006/relationships/hyperlink" Id="rId108" Target="10-operating-and-evidencing-the-fleet.md" TargetMode="External" /><Relationship Type="http://schemas.openxmlformats.org/officeDocument/2006/relationships/hyperlink" Id="rId107" Target="https://csrc.nist.gov/pubs/sp/800/53/r5/upd1/final" TargetMode="External" /><Relationship Type="http://schemas.openxmlformats.org/officeDocument/2006/relationships/hyperlink" Id="rId41" Target="https://learn.microsoft.com/autopilot/device-preparation/compare" TargetMode="External" /><Relationship Type="http://schemas.openxmlformats.org/officeDocument/2006/relationships/hyperlink" Id="rId39" Target="https://learn.microsoft.com/autopilot/device-preparation/faq" TargetMode="External" /><Relationship Type="http://schemas.openxmlformats.org/officeDocument/2006/relationships/hyperlink" Id="rId45" Target="https://learn.microsoft.com/autopilot/device-preparation/overview" TargetMode="External" /><Relationship Type="http://schemas.openxmlformats.org/officeDocument/2006/relationships/hyperlink" Id="rId47" Target="https://learn.microsoft.com/autopilot/device-preparation/requirements" TargetMode="External" /><Relationship Type="http://schemas.openxmlformats.org/officeDocument/2006/relationships/hyperlink" Id="rId52" Target="https://learn.microsoft.com/autopilot/manual-registration" TargetMode="External" /><Relationship Type="http://schemas.openxmlformats.org/officeDocument/2006/relationships/hyperlink" Id="rId50" Target="https://learn.microsoft.com/autopilot/oem-registration" TargetMode="External" /><Relationship Type="http://schemas.openxmlformats.org/officeDocument/2006/relationships/hyperlink" Id="rId35" Target="https://learn.microsoft.com/autopilot/registration-overview" TargetMode="External" /><Relationship Type="http://schemas.openxmlformats.org/officeDocument/2006/relationships/hyperlink" Id="rId73" Target="https://learn.microsoft.com/autopilot/tutorial/user-driven/azure-ad-join-autopilot-profile" TargetMode="External" /><Relationship Type="http://schemas.openxmlformats.org/officeDocument/2006/relationships/hyperlink" Id="rId78" Target="https://learn.microsoft.com/autopilot/tutorial/user-driven/azure-ad-join-esp" TargetMode="External" /><Relationship Type="http://schemas.openxmlformats.org/officeDocument/2006/relationships/hyperlink" Id="rId103" Target="https://learn.microsoft.com/entra/identity/devices/howto-arc-sign-in-windows" TargetMode="External" /><Relationship Type="http://schemas.openxmlformats.org/officeDocument/2006/relationships/hyperlink" Id="rId20" Target="https://learn.microsoft.com/entra/identity/devices/overview" TargetMode="External" /><Relationship Type="http://schemas.openxmlformats.org/officeDocument/2006/relationships/hyperlink" Id="rId63" Target="https://learn.microsoft.com/entra/identity/users/groups-dynamic-membership#rules-for-devices" TargetMode="External" /><Relationship Type="http://schemas.openxmlformats.org/officeDocument/2006/relationships/hyperlink" Id="rId58" Target="https://learn.microsoft.com/hololens/hololens2-autopilot#configuring-autopilot-for-hololens-2" TargetMode="External" /><Relationship Type="http://schemas.openxmlformats.org/officeDocument/2006/relationships/hyperlink" Id="rId68" Target="https://learn.microsoft.com/intune/device-enrollment/add-corporate-identifiers" TargetMode="External" /><Relationship Type="http://schemas.openxmlformats.org/officeDocument/2006/relationships/hyperlink" Id="rId66" Target="https://learn.microsoft.com/intune/device-enrollment/restrictions" TargetMode="External" /><Relationship Type="http://schemas.openxmlformats.org/officeDocument/2006/relationships/hyperlink" Id="rId80" Target="https://learn.microsoft.com/intune/device-enrollment/windows/setup-status-page" TargetMode="External" /><Relationship Type="http://schemas.openxmlformats.org/officeDocument/2006/relationships/hyperlink" Id="rId86" Target="https://learn.microsoft.com/intune/device-security/compliance/overview#compliance-policy-settings" TargetMode="External" /><Relationship Type="http://schemas.openxmlformats.org/officeDocument/2006/relationships/hyperlink" Id="rId90" Target="https://learn.microsoft.com/intune/device-security/compliance/ref-windows-settings#microsoft-defender-for-endpoint" TargetMode="External" /><Relationship Type="http://schemas.openxmlformats.org/officeDocument/2006/relationships/hyperlink" Id="rId27" Target="https://learn.microsoft.com/intune/device-security/microsoft-defender/security-settings-management" TargetMode="External" /><Relationship Type="http://schemas.openxmlformats.org/officeDocument/2006/relationships/hyperlink" Id="rId93" Target="https://learn.microsoft.com/intune/device-security/security-baselines/overview" TargetMode="External" /><Relationship Type="http://schemas.openxmlformats.org/officeDocument/2006/relationships/hyperlink" Id="rId43" Target="https://learn.microsoft.com/intune/fundamentals/government-service" TargetMode="External" /><Relationship Type="http://schemas.openxmlformats.org/officeDocument/2006/relationships/hyperlink" Id="rId25" Target="https://learn.microsoft.com/intune/fundamentals/ref-supported-platforms" TargetMode="External" /><Relationship Type="http://schemas.openxmlformats.org/officeDocument/2006/relationships/hyperlink" Id="rId88" Target="https://learn.microsoft.com/microsoft-365/admin/security-and-compliance/m365bp-devices-enrollment?view=o365-worldwide" TargetMode="External" /><Relationship Type="http://schemas.openxmlformats.org/officeDocument/2006/relationships/hyperlink" Id="rId70" Target="https://learn.microsoft.com/troubleshoot/mem/intune/device-enrollment/troubleshoot-windows-work-school" TargetMode="External" /><Relationship Type="http://schemas.openxmlformats.org/officeDocument/2006/relationships/hyperlink" Id="rId114" Target="index.md" TargetMode="External" /></Relationships>
</file>

<file path=word/_rels/footnotes.xml.rels><?xml version="1.0" encoding="UTF-8"?><Relationships xmlns="http://schemas.openxmlformats.org/package/2006/relationships"><Relationship Type="http://schemas.openxmlformats.org/officeDocument/2006/relationships/hyperlink" Id="rId18" Target="../b02-identity/04-the-hidden-migration-surface.md" TargetMode="External" /><Relationship Type="http://schemas.openxmlformats.org/officeDocument/2006/relationships/hyperlink" Id="rId94" Target="../b02-identity/10-migrating-and-governing.md" TargetMode="External" /><Relationship Type="http://schemas.openxmlformats.org/officeDocument/2006/relationships/hyperlink" Id="rId91" Target="../b04-access/index.md" TargetMode="External" /><Relationship Type="http://schemas.openxmlformats.org/officeDocument/2006/relationships/hyperlink" Id="rId21" Target="02-the-hybrid-join-trap.md" TargetMode="External" /><Relationship Type="http://schemas.openxmlformats.org/officeDocument/2006/relationships/hyperlink" Id="rId74" Target="03-where-device-and-server-data-lives.md" TargetMode="External" /><Relationship Type="http://schemas.openxmlformats.org/officeDocument/2006/relationships/hyperlink" Id="rId110" Target="05-the-governed-manual-and-retrofit-paths.md" TargetMode="External" /><Relationship Type="http://schemas.openxmlformats.org/officeDocument/2006/relationships/hyperlink" Id="rId15" Target="07-the-gpo-sunset-program.md" TargetMode="External" /><Relationship Type="http://schemas.openxmlformats.org/officeDocument/2006/relationships/hyperlink" Id="rId16" Target="08-gpo-to-intune-policy-migration.md" TargetMode="External" /><Relationship Type="http://schemas.openxmlformats.org/officeDocument/2006/relationships/hyperlink" Id="rId17" Target="09-servers-under-azure-arc.md" TargetMode="External" /><Relationship Type="http://schemas.openxmlformats.org/officeDocument/2006/relationships/hyperlink" Id="rId108" Target="10-operating-and-evidencing-the-fleet.md" TargetMode="External" /><Relationship Type="http://schemas.openxmlformats.org/officeDocument/2006/relationships/hyperlink" Id="rId107" Target="https://csrc.nist.gov/pubs/sp/800/53/r5/upd1/final" TargetMode="External" /><Relationship Type="http://schemas.openxmlformats.org/officeDocument/2006/relationships/hyperlink" Id="rId41" Target="https://learn.microsoft.com/autopilot/device-preparation/compare" TargetMode="External" /><Relationship Type="http://schemas.openxmlformats.org/officeDocument/2006/relationships/hyperlink" Id="rId39" Target="https://learn.microsoft.com/autopilot/device-preparation/faq" TargetMode="External" /><Relationship Type="http://schemas.openxmlformats.org/officeDocument/2006/relationships/hyperlink" Id="rId45" Target="https://learn.microsoft.com/autopilot/device-preparation/overview" TargetMode="External" /><Relationship Type="http://schemas.openxmlformats.org/officeDocument/2006/relationships/hyperlink" Id="rId47" Target="https://learn.microsoft.com/autopilot/device-preparation/requirements" TargetMode="External" /><Relationship Type="http://schemas.openxmlformats.org/officeDocument/2006/relationships/hyperlink" Id="rId52" Target="https://learn.microsoft.com/autopilot/manual-registration" TargetMode="External" /><Relationship Type="http://schemas.openxmlformats.org/officeDocument/2006/relationships/hyperlink" Id="rId50" Target="https://learn.microsoft.com/autopilot/oem-registration" TargetMode="External" /><Relationship Type="http://schemas.openxmlformats.org/officeDocument/2006/relationships/hyperlink" Id="rId35" Target="https://learn.microsoft.com/autopilot/registration-overview" TargetMode="External" /><Relationship Type="http://schemas.openxmlformats.org/officeDocument/2006/relationships/hyperlink" Id="rId73" Target="https://learn.microsoft.com/autopilot/tutorial/user-driven/azure-ad-join-autopilot-profile" TargetMode="External" /><Relationship Type="http://schemas.openxmlformats.org/officeDocument/2006/relationships/hyperlink" Id="rId78" Target="https://learn.microsoft.com/autopilot/tutorial/user-driven/azure-ad-join-esp" TargetMode="External" /><Relationship Type="http://schemas.openxmlformats.org/officeDocument/2006/relationships/hyperlink" Id="rId103" Target="https://learn.microsoft.com/entra/identity/devices/howto-arc-sign-in-windows" TargetMode="External" /><Relationship Type="http://schemas.openxmlformats.org/officeDocument/2006/relationships/hyperlink" Id="rId20" Target="https://learn.microsoft.com/entra/identity/devices/overview" TargetMode="External" /><Relationship Type="http://schemas.openxmlformats.org/officeDocument/2006/relationships/hyperlink" Id="rId63" Target="https://learn.microsoft.com/entra/identity/users/groups-dynamic-membership#rules-for-devices" TargetMode="External" /><Relationship Type="http://schemas.openxmlformats.org/officeDocument/2006/relationships/hyperlink" Id="rId58" Target="https://learn.microsoft.com/hololens/hololens2-autopilot#configuring-autopilot-for-hololens-2" TargetMode="External" /><Relationship Type="http://schemas.openxmlformats.org/officeDocument/2006/relationships/hyperlink" Id="rId68" Target="https://learn.microsoft.com/intune/device-enrollment/add-corporate-identifiers" TargetMode="External" /><Relationship Type="http://schemas.openxmlformats.org/officeDocument/2006/relationships/hyperlink" Id="rId66" Target="https://learn.microsoft.com/intune/device-enrollment/restrictions" TargetMode="External" /><Relationship Type="http://schemas.openxmlformats.org/officeDocument/2006/relationships/hyperlink" Id="rId80" Target="https://learn.microsoft.com/intune/device-enrollment/windows/setup-status-page" TargetMode="External" /><Relationship Type="http://schemas.openxmlformats.org/officeDocument/2006/relationships/hyperlink" Id="rId86" Target="https://learn.microsoft.com/intune/device-security/compliance/overview#compliance-policy-settings" TargetMode="External" /><Relationship Type="http://schemas.openxmlformats.org/officeDocument/2006/relationships/hyperlink" Id="rId90" Target="https://learn.microsoft.com/intune/device-security/compliance/ref-windows-settings#microsoft-defender-for-endpoint" TargetMode="External" /><Relationship Type="http://schemas.openxmlformats.org/officeDocument/2006/relationships/hyperlink" Id="rId27" Target="https://learn.microsoft.com/intune/device-security/microsoft-defender/security-settings-management" TargetMode="External" /><Relationship Type="http://schemas.openxmlformats.org/officeDocument/2006/relationships/hyperlink" Id="rId93" Target="https://learn.microsoft.com/intune/device-security/security-baselines/overview" TargetMode="External" /><Relationship Type="http://schemas.openxmlformats.org/officeDocument/2006/relationships/hyperlink" Id="rId43" Target="https://learn.microsoft.com/intune/fundamentals/government-service" TargetMode="External" /><Relationship Type="http://schemas.openxmlformats.org/officeDocument/2006/relationships/hyperlink" Id="rId25" Target="https://learn.microsoft.com/intune/fundamentals/ref-supported-platforms" TargetMode="External" /><Relationship Type="http://schemas.openxmlformats.org/officeDocument/2006/relationships/hyperlink" Id="rId88" Target="https://learn.microsoft.com/microsoft-365/admin/security-and-compliance/m365bp-devices-enrollment?view=o365-worldwide" TargetMode="External" /><Relationship Type="http://schemas.openxmlformats.org/officeDocument/2006/relationships/hyperlink" Id="rId70" Target="https://learn.microsoft.com/troubleshoot/mem/intune/device-enrollment/troubleshoot-windows-work-school" TargetMode="External" /><Relationship Type="http://schemas.openxmlformats.org/officeDocument/2006/relationships/hyperlink" Id="rId11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Intune-First Onboarding</dc:title>
  <dc:creator/>
  <dc:description>How net-new devices enter governance from day zero: the doctrine, the five-phase procure-to-validate process, Windows Autopilot and Autopilot device preparation, enrollment restrictions, naming, group tags, the Enrollment Status Page, compliance and configuration baselines, other platforms, exceptions and drift.</dc:description>
  <cp:keywords/>
  <dcterms:created xsi:type="dcterms:W3CDTF">2026-10-20T23:25:45Z</dcterms:created>
  <dcterms:modified xsi:type="dcterms:W3CDTF">2026-10-20T23:25:45Z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