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vg" ContentType="image/svg+xml"/>
  <Override PartName="/word/media/rId62.svg" ContentType="image/svg+xml"/>
  <Override PartName="/word/media/rId102.png" ContentType="image/png"/>
  <Override PartName="/word/media/rId9.png" ContentType="image/png"/>
  <Override PartName="/word/media/rId199.png" ContentType="image/png"/>
  <Override PartName="/word/media/rId1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08 — GPO to Intune Policy Migration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05" w:name="Xa2515794409b5349c43ff70d6928d1c77876b5c"/>
    <w:p>
      <w:pPr>
        <w:pStyle w:val="Heading1"/>
      </w:pPr>
      <w:r>
        <w:t xml:space="preserve">Chapter 08 — GPO to Intune Policy Migration</w:t>
      </w:r>
    </w:p>
    <w:p>
      <w:pPr>
        <w:pStyle w:val="FirstParagraph"/>
      </w:pPr>
      <w:r>
        <w:rPr>
          <w:i/>
          <w:iCs/>
        </w:rPr>
        <w:t xml:space="preserve">A policy template is a starting position for a decision, not a copy of the GPO it replaces; every setting in it has to earn its place, its owner and its evidence.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working detail of the GPO sunset that</w:t>
            </w:r>
            <w:r>
              <w:t xml:space="preserve"> </w:t>
            </w:r>
            <w:hyperlink r:id="rId12">
              <w:r>
                <w:rPr>
                  <w:rStyle w:val="Hyperlink"/>
                </w:rPr>
                <w:t xml:space="preserve">Chapter 07</w:t>
              </w:r>
            </w:hyperlink>
            <w:r>
              <w:t xml:space="preserve"> </w:t>
            </w:r>
            <w:r>
              <w:t xml:space="preserve">runs as a program: the seven phases broken into tasks, durations, exit gates, rings, tests and rollback steps. Then the program’s policy library for the existing Windows fleet: how policies are typed, targeted and tagged, the five compliance policies, six configuration profiles, six endpoint security policies and two app protection policies, with the GPO paths they replace. The chapter closes with dynamic group and filter templates and Microsoft Graph templates for creating the policies as code; the setting-level crosswalk and CSP paths are in</w:t>
            </w:r>
            <w:r>
              <w:t xml:space="preserve"> </w:t>
            </w:r>
            <w:hyperlink r:id="rId13">
              <w:r>
                <w:rPr>
                  <w:rStyle w:val="Hyperlink"/>
                </w:rPr>
                <w:t xml:space="preserve">Appendix A</w:t>
              </w:r>
            </w:hyperlink>
            <w:r>
              <w:t xml:space="preserve">.</w:t>
            </w:r>
          </w:p>
          <w:p/>
        </w:tc>
      </w:tr>
    </w:tbl>
    <w:p>
      <w:pPr>
        <w:pStyle w:val="BodyText"/>
      </w:pPr>
      <w:hyperlink r:id="rId12">
        <w:r>
          <w:rPr>
            <w:rStyle w:val="Hyperlink"/>
          </w:rPr>
          <w:t xml:space="preserve">Chapter 07</w:t>
        </w:r>
      </w:hyperlink>
      <w:r>
        <w:t xml:space="preserve"> </w:t>
      </w:r>
      <w:r>
        <w:t xml:space="preserve">sets the rules: inventory before anything moves, one authority per setting, evidence before a GPO link is disabled, and disable before delete. This chapter is what an endpoint engineer works from inside those rules. It assumes the decision records from Chapter 07 exist, because a template is only applied to a setting that has been classified as required.</w:t>
      </w:r>
    </w:p>
    <w:p>
      <w:pPr>
        <w:pStyle w:val="BodyText"/>
      </w:pPr>
      <w:r>
        <w:t xml:space="preserve">The scope is the existing Windows fleet: corporate-owned workstations, privileged access workstations and kiosks, plus personal devices that reach organizational data through app protection only. Two scope facts changed since the source material was written:</w:t>
      </w:r>
    </w:p>
    <w:p>
      <w:pPr>
        <w:pStyle w:val="Compact"/>
        <w:numPr>
          <w:ilvl w:val="0"/>
          <w:numId w:val="1001"/>
        </w:numPr>
      </w:pPr>
      <w:r>
        <w:rPr>
          <w:b/>
          <w:bCs/>
        </w:rPr>
        <w:t xml:space="preserve">Windows 10 is out of support.</w:t>
      </w:r>
      <w:r>
        <w:t xml:space="preserve"> </w:t>
      </w:r>
      <w:r>
        <w:t xml:space="preserve">It reached end of support on October 14, 2025. Intune still treats it as an</w:t>
      </w:r>
      <w:r>
        <w:t xml:space="preserve"> </w:t>
      </w:r>
      <w:r>
        <w:rPr>
          <w:i/>
          <w:iCs/>
        </w:rPr>
        <w:t xml:space="preserve">allowed</w:t>
      </w:r>
      <w:r>
        <w:t xml:space="preserve"> </w:t>
      </w:r>
      <w:r>
        <w:t xml:space="preserve">version, so devices can enroll and use eligible features, but Microsoft no longer guarantees that functionality works.</w:t>
      </w:r>
      <w:r>
        <w:rPr>
          <w:rStyle w:val="FootnoteReference"/>
        </w:rPr>
        <w:footnoteReference w:id="14"/>
      </w:r>
      <w:r>
        <w:t xml:space="preserve"> </w:t>
      </w:r>
      <w:r>
        <w:t xml:space="preserve">The templates below set Windows 11 as the floor; any Windows 10 device left in the fleet is an exception with an upgrade date.</w:t>
      </w:r>
    </w:p>
    <w:p>
      <w:pPr>
        <w:pStyle w:val="Compact"/>
        <w:numPr>
          <w:ilvl w:val="0"/>
          <w:numId w:val="1001"/>
        </w:numPr>
      </w:pPr>
      <w:r>
        <w:rPr>
          <w:b/>
          <w:bCs/>
        </w:rPr>
        <w:t xml:space="preserve">Windows Server doesn’t enroll in Intune.</w:t>
      </w:r>
      <w:r>
        <w:t xml:space="preserve"> </w:t>
      </w:r>
      <w:r>
        <w:t xml:space="preserve">Intune manages Windows 11 client editions, not Windows Server; Microsoft describes Defender for Endpoint security settings management as the way to extend Intune endpoint security policy to devices that can’t enroll, and lists Windows Server 2025 among them.</w:t>
      </w:r>
      <w:r>
        <w:rPr>
          <w:rStyle w:val="FootnoteReference"/>
        </w:rPr>
        <w:footnoteReference w:id="16"/>
      </w:r>
      <w:r>
        <w:rPr>
          <w:rStyle w:val="FootnoteReference"/>
        </w:rPr>
        <w:footnoteReference w:id="18"/>
      </w:r>
      <w:r>
        <w:t xml:space="preserve"> </w:t>
      </w:r>
      <w:r>
        <w:t xml:space="preserve">The source’s server compliance policy is therefore recast below as a server baseline that</w:t>
      </w:r>
      <w:r>
        <w:t xml:space="preserve"> </w:t>
      </w:r>
      <w:hyperlink r:id="rId20">
        <w:r>
          <w:rPr>
            <w:rStyle w:val="Hyperlink"/>
          </w:rPr>
          <w:t xml:space="preserve">Chapter 09</w:t>
        </w:r>
      </w:hyperlink>
      <w:r>
        <w:t xml:space="preserve"> </w:t>
      </w:r>
      <w:r>
        <w:t xml:space="preserve">carries through Azure Arc and Defender.</w:t>
      </w:r>
    </w:p>
    <w:tbl>
      <w:tblPr>
        <w:tblStyle w:val="Table"/>
        <w:tblW w:type="pct" w:w="5000"/>
        <w:tblLayout w:type="fixed"/>
        <w:tblLook w:firstRow="0" w:lastRow="0" w:firstColumn="0" w:lastColumn="0" w:noHBand="0" w:noVBand="0" w:val="0000"/>
      </w:tblPr>
      <w:tblGrid>
        <w:gridCol w:w="7920"/>
      </w:tblGrid>
      <w:tr>
        <w:tc>
          <w:tcPr/>
          <w:bookmarkStart w:id="24" w:name="fig-ch08-migration-phases"/>
          <w:p>
            <w:pPr>
              <w:pStyle w:val="Compact"/>
              <w:jc w:val="center"/>
            </w:pPr>
            <w:r>
              <w:drawing>
                <wp:inline>
                  <wp:extent cx="5334000" cy="6469455"/>
                  <wp:effectExtent b="0" l="0" r="0" t="0"/>
                  <wp:docPr descr="" title="" id="22" name="Picture"/>
                  <a:graphic>
                    <a:graphicData uri="http://schemas.openxmlformats.org/drawingml/2006/picture">
                      <pic:pic>
                        <pic:nvPicPr>
                          <pic:cNvPr descr="../../images/diagrams/b05-devices/svg/ch08-migration-phases.svg"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5334000" cy="6469455"/>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seven phases of the migration, each closed by an exit gate, with the rollback that applies while the phase is open.</w:t>
            </w:r>
          </w:p>
          <w:bookmarkEnd w:id="24"/>
        </w:tc>
      </w:tr>
    </w:tbl>
    <w:bookmarkStart w:id="49" w:name="the-seven-phases-at-working-level"/>
    <w:p>
      <w:pPr>
        <w:pStyle w:val="Heading2"/>
      </w:pPr>
      <w:r>
        <w:t xml:space="preserve">The seven phases at working level</w:t>
      </w:r>
    </w:p>
    <w:p>
      <w:pPr>
        <w:pStyle w:val="FirstParagraph"/>
      </w:pPr>
      <w:r>
        <w:t xml:space="preserve">The phases are the program’s seven from</w:t>
      </w:r>
      <w:r>
        <w:t xml:space="preserve"> </w:t>
      </w:r>
      <w:hyperlink r:id="rId25">
        <w:r>
          <w:rPr>
            <w:rStyle w:val="Hyperlink"/>
          </w:rPr>
          <w:t xml:space="preserve">Chapter 07</w:t>
        </w:r>
      </w:hyperlink>
      <w:r>
        <w:t xml:space="preserve">. The tasks, durations and gates come from the program’s reference plan for a large fleet. Durations are planning estimates for a fleet with an existing Configuration Manager estate; a fleet without one skips most of Phase 2.</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Phase</w:t>
            </w:r>
          </w:p>
        </w:tc>
        <w:tc>
          <w:tcPr/>
          <w:p>
            <w:pPr>
              <w:pStyle w:val="Compact"/>
            </w:pPr>
            <w:r>
              <w:t xml:space="preserve">Working tasks</w:t>
            </w:r>
          </w:p>
        </w:tc>
        <w:tc>
          <w:tcPr/>
          <w:p>
            <w:pPr>
              <w:pStyle w:val="Compact"/>
            </w:pPr>
            <w:r>
              <w:t xml:space="preserve">Typical duration</w:t>
            </w:r>
          </w:p>
        </w:tc>
        <w:tc>
          <w:tcPr/>
          <w:p>
            <w:pPr>
              <w:pStyle w:val="Compact"/>
            </w:pPr>
            <w:r>
              <w:t xml:space="preserve">Risk</w:t>
            </w:r>
          </w:p>
        </w:tc>
        <w:tc>
          <w:tcPr/>
          <w:p>
            <w:pPr>
              <w:pStyle w:val="Compact"/>
            </w:pPr>
            <w:r>
              <w:t xml:space="preserve">Exit gate</w:t>
            </w:r>
          </w:p>
        </w:tc>
        <w:tc>
          <w:tcPr/>
          <w:p>
            <w:pPr>
              <w:pStyle w:val="Compact"/>
            </w:pPr>
            <w:r>
              <w:t xml:space="preserve">Rollback while open</w:t>
            </w:r>
          </w:p>
        </w:tc>
      </w:tr>
      <w:tr>
        <w:tc>
          <w:tcPr/>
          <w:p>
            <w:pPr>
              <w:pStyle w:val="Compact"/>
            </w:pPr>
            <w:r>
              <w:t xml:space="preserve">1. Inventory and classify</w:t>
            </w:r>
          </w:p>
        </w:tc>
        <w:tc>
          <w:tcPr/>
          <w:p>
            <w:pPr>
              <w:pStyle w:val="Compact"/>
            </w:pPr>
            <w:r>
              <w:t xml:space="preserve">Export every GPO, import into Group Policy analytics, classify settings, capture the effective-policy baseline per tier</w:t>
            </w:r>
          </w:p>
        </w:tc>
        <w:tc>
          <w:tcPr/>
          <w:p>
            <w:pPr>
              <w:pStyle w:val="Compact"/>
            </w:pPr>
            <w:r>
              <w:t xml:space="preserve">3–5 weeks</w:t>
            </w:r>
          </w:p>
        </w:tc>
        <w:tc>
          <w:tcPr/>
          <w:p>
            <w:pPr>
              <w:pStyle w:val="Compact"/>
            </w:pPr>
            <w:r>
              <w:t xml:space="preserve">Low (read-only)</w:t>
            </w:r>
          </w:p>
        </w:tc>
        <w:tc>
          <w:tcPr/>
          <w:p>
            <w:pPr>
              <w:pStyle w:val="Compact"/>
            </w:pPr>
            <w:r>
              <w:t xml:space="preserve">A decision record for every setting; a baseline per device tier</w:t>
            </w:r>
          </w:p>
        </w:tc>
        <w:tc>
          <w:tcPr/>
          <w:p>
            <w:pPr>
              <w:pStyle w:val="Compact"/>
            </w:pPr>
            <w:r>
              <w:t xml:space="preserve">None needed; delete Group Policy analytics imports if wanted</w:t>
            </w:r>
          </w:p>
        </w:tc>
      </w:tr>
      <w:tr>
        <w:tc>
          <w:tcPr/>
          <w:p>
            <w:pPr>
              <w:pStyle w:val="Compact"/>
            </w:pPr>
            <w:r>
              <w:t xml:space="preserve">2. Coexistence planning</w:t>
            </w:r>
          </w:p>
        </w:tc>
        <w:tc>
          <w:tcPr/>
          <w:p>
            <w:pPr>
              <w:pStyle w:val="Compact"/>
            </w:pPr>
            <w:r>
              <w:t xml:space="preserve">Enable co-management for the pilot collection, set workload sliders to Pilot Intune, decide</w:t>
            </w:r>
            <w:r>
              <w:t xml:space="preserve"> </w:t>
            </w:r>
            <w:r>
              <w:rPr>
                <w:rStyle w:val="VerbatimChar"/>
              </w:rPr>
              <w:t xml:space="preserve">MDMWinsOverGP</w:t>
            </w:r>
            <w:r>
              <w:t xml:space="preserve"> </w:t>
            </w:r>
            <w:r>
              <w:t xml:space="preserve">per population</w:t>
            </w:r>
          </w:p>
        </w:tc>
        <w:tc>
          <w:tcPr/>
          <w:p>
            <w:pPr>
              <w:pStyle w:val="Compact"/>
            </w:pPr>
            <w:r>
              <w:t xml:space="preserve">2–3 weeks</w:t>
            </w:r>
          </w:p>
        </w:tc>
        <w:tc>
          <w:tcPr/>
          <w:p>
            <w:pPr>
              <w:pStyle w:val="Compact"/>
            </w:pPr>
            <w:r>
              <w:t xml:space="preserve">Medium</w:t>
            </w:r>
          </w:p>
        </w:tc>
        <w:tc>
          <w:tcPr/>
          <w:p>
            <w:pPr>
              <w:pStyle w:val="Compact"/>
            </w:pPr>
            <w:r>
              <w:t xml:space="preserve">Pilot devices enrolled, syncing, and still receiving the workloads not yet switched</w:t>
            </w:r>
          </w:p>
        </w:tc>
        <w:tc>
          <w:tcPr/>
          <w:p>
            <w:pPr>
              <w:pStyle w:val="Compact"/>
            </w:pPr>
            <w:r>
              <w:t xml:space="preserve">Slider back to Configuration Manager; remove devices from the pilot collection</w:t>
            </w:r>
          </w:p>
        </w:tc>
      </w:tr>
      <w:tr>
        <w:tc>
          <w:tcPr/>
          <w:p>
            <w:pPr>
              <w:pStyle w:val="Compact"/>
            </w:pPr>
            <w:r>
              <w:t xml:space="preserve">3. Baseline authoring</w:t>
            </w:r>
          </w:p>
        </w:tc>
        <w:tc>
          <w:tcPr/>
          <w:p>
            <w:pPr>
              <w:pStyle w:val="Compact"/>
            </w:pPr>
            <w:r>
              <w:t xml:space="preserve">Build the policies in this chapter unassigned, in audit mode where one exists; create groups and scope tags; peer review</w:t>
            </w:r>
          </w:p>
        </w:tc>
        <w:tc>
          <w:tcPr/>
          <w:p>
            <w:pPr>
              <w:pStyle w:val="Compact"/>
            </w:pPr>
            <w:r>
              <w:t xml:space="preserve">3–4 weeks</w:t>
            </w:r>
          </w:p>
        </w:tc>
        <w:tc>
          <w:tcPr/>
          <w:p>
            <w:pPr>
              <w:pStyle w:val="Compact"/>
            </w:pPr>
            <w:r>
              <w:t xml:space="preserve">Low (nothing assigned)</w:t>
            </w:r>
          </w:p>
        </w:tc>
        <w:tc>
          <w:tcPr/>
          <w:p>
            <w:pPr>
              <w:pStyle w:val="Compact"/>
            </w:pPr>
            <w:r>
              <w:t xml:space="preserve">Every required setting owned by exactly one policy; review signed off</w:t>
            </w:r>
          </w:p>
        </w:tc>
        <w:tc>
          <w:tcPr/>
          <w:p>
            <w:pPr>
              <w:pStyle w:val="Compact"/>
            </w:pPr>
            <w:r>
              <w:t xml:space="preserve">Delete the unassigned policies</w:t>
            </w:r>
          </w:p>
        </w:tc>
      </w:tr>
      <w:tr>
        <w:tc>
          <w:tcPr/>
          <w:p>
            <w:pPr>
              <w:pStyle w:val="Compact"/>
            </w:pPr>
            <w:r>
              <w:t xml:space="preserve">4. Pilot</w:t>
            </w:r>
          </w:p>
        </w:tc>
        <w:tc>
          <w:tcPr/>
          <w:p>
            <w:pPr>
              <w:pStyle w:val="Compact"/>
            </w:pPr>
            <w:r>
              <w:t xml:space="preserve">Assign to a representative cohort of about 5% with extended grace periods; GPOs stay linked</w:t>
            </w:r>
          </w:p>
        </w:tc>
        <w:tc>
          <w:tcPr/>
          <w:p>
            <w:pPr>
              <w:pStyle w:val="Compact"/>
            </w:pPr>
            <w:r>
              <w:t xml:space="preserve">4–6 weeks</w:t>
            </w:r>
          </w:p>
        </w:tc>
        <w:tc>
          <w:tcPr/>
          <w:p>
            <w:pPr>
              <w:pStyle w:val="Compact"/>
            </w:pPr>
            <w:r>
              <w:t xml:space="preserve">Medium</w:t>
            </w:r>
          </w:p>
        </w:tc>
        <w:tc>
          <w:tcPr/>
          <w:p>
            <w:pPr>
              <w:pStyle w:val="Compact"/>
            </w:pPr>
            <w:r>
              <w:t xml:space="preserve">No unexplained conflicts; application and user tests pass against the Phase 1 baseline</w:t>
            </w:r>
          </w:p>
        </w:tc>
        <w:tc>
          <w:tcPr/>
          <w:p>
            <w:pPr>
              <w:pStyle w:val="Compact"/>
            </w:pPr>
            <w:r>
              <w:t xml:space="preserve">Remove the pilot assignments; GPOs keep applying</w:t>
            </w:r>
          </w:p>
        </w:tc>
      </w:tr>
      <w:tr>
        <w:tc>
          <w:tcPr/>
          <w:p>
            <w:pPr>
              <w:pStyle w:val="Compact"/>
            </w:pPr>
            <w:r>
              <w:t xml:space="preserve">5. Workload cutover</w:t>
            </w:r>
          </w:p>
        </w:tc>
        <w:tc>
          <w:tcPr/>
          <w:p>
            <w:pPr>
              <w:pStyle w:val="Compact"/>
            </w:pPr>
            <w:r>
              <w:t xml:space="preserve">Four waves by workload, each watched for 72 hours before the next</w:t>
            </w:r>
          </w:p>
        </w:tc>
        <w:tc>
          <w:tcPr/>
          <w:p>
            <w:pPr>
              <w:pStyle w:val="Compact"/>
            </w:pPr>
            <w:r>
              <w:t xml:space="preserve">8–12 weeks</w:t>
            </w:r>
          </w:p>
        </w:tc>
        <w:tc>
          <w:tcPr/>
          <w:p>
            <w:pPr>
              <w:pStyle w:val="Compact"/>
            </w:pPr>
            <w:r>
              <w:t xml:space="preserve">Medium to high</w:t>
            </w:r>
          </w:p>
        </w:tc>
        <w:tc>
          <w:tcPr/>
          <w:p>
            <w:pPr>
              <w:pStyle w:val="Compact"/>
            </w:pPr>
            <w:r>
              <w:t xml:space="preserve">Each wave’s settings report success on its population; GPO links for that workload disabled</w:t>
            </w:r>
          </w:p>
        </w:tc>
        <w:tc>
          <w:tcPr/>
          <w:p>
            <w:pPr>
              <w:pStyle w:val="Compact"/>
            </w:pPr>
            <w:r>
              <w:t xml:space="preserve">Slider back for the affected workload; re-enable the GPO links</w:t>
            </w:r>
          </w:p>
        </w:tc>
      </w:tr>
      <w:tr>
        <w:tc>
          <w:tcPr/>
          <w:p>
            <w:pPr>
              <w:pStyle w:val="Compact"/>
            </w:pPr>
            <w:r>
              <w:t xml:space="preserve">6. Verification and residual cleanup</w:t>
            </w:r>
          </w:p>
        </w:tc>
        <w:tc>
          <w:tcPr/>
          <w:p>
            <w:pPr>
              <w:pStyle w:val="Compact"/>
            </w:pPr>
            <w:r>
              <w:t xml:space="preserve">Disable remaining links for migrated populations, clear tattooed preference items, collect evidence</w:t>
            </w:r>
          </w:p>
        </w:tc>
        <w:tc>
          <w:tcPr/>
          <w:p>
            <w:pPr>
              <w:pStyle w:val="Compact"/>
            </w:pPr>
            <w:r>
              <w:t xml:space="preserve">About 2 weeks</w:t>
            </w:r>
          </w:p>
        </w:tc>
        <w:tc>
          <w:tcPr/>
          <w:p>
            <w:pPr>
              <w:pStyle w:val="Compact"/>
            </w:pPr>
            <w:r>
              <w:t xml:space="preserve">Low if Phases 4–5 held</w:t>
            </w:r>
          </w:p>
        </w:tc>
        <w:tc>
          <w:tcPr/>
          <w:p>
            <w:pPr>
              <w:pStyle w:val="Compact"/>
            </w:pPr>
            <w:r>
              <w:t xml:space="preserve">No migrated device processes an in-scope GPO; evidence filed</w:t>
            </w:r>
          </w:p>
        </w:tc>
        <w:tc>
          <w:tcPr/>
          <w:p>
            <w:pPr>
              <w:pStyle w:val="Compact"/>
            </w:pPr>
            <w:r>
              <w:t xml:space="preserve">Re-enable the link for the affected population</w:t>
            </w:r>
          </w:p>
        </w:tc>
      </w:tr>
      <w:tr>
        <w:tc>
          <w:tcPr/>
          <w:p>
            <w:pPr>
              <w:pStyle w:val="Compact"/>
            </w:pPr>
            <w:r>
              <w:t xml:space="preserve">7. Formal retirement</w:t>
            </w:r>
          </w:p>
        </w:tc>
        <w:tc>
          <w:tcPr/>
          <w:p>
            <w:pPr>
              <w:pStyle w:val="Compact"/>
            </w:pPr>
            <w:r>
              <w:t xml:space="preserve">Disable GPOs, keep them 90 days, then back up, archive and delete; close the exception register</w:t>
            </w:r>
          </w:p>
        </w:tc>
        <w:tc>
          <w:tcPr/>
          <w:p>
            <w:pPr>
              <w:pStyle w:val="Compact"/>
            </w:pPr>
            <w:r>
              <w:t xml:space="preserve">About 2 weeks of work, plus the 90-day window</w:t>
            </w:r>
          </w:p>
        </w:tc>
        <w:tc>
          <w:tcPr/>
          <w:p>
            <w:pPr>
              <w:pStyle w:val="Compact"/>
            </w:pPr>
            <w:r>
              <w:t xml:space="preserve">Low</w:t>
            </w:r>
          </w:p>
        </w:tc>
        <w:tc>
          <w:tcPr/>
          <w:p>
            <w:pPr>
              <w:pStyle w:val="Compact"/>
            </w:pPr>
            <w:r>
              <w:t xml:space="preserve">GPOs archived and deleted; only dated exceptions remain</w:t>
            </w:r>
          </w:p>
        </w:tc>
        <w:tc>
          <w:tcPr/>
          <w:p>
            <w:pPr>
              <w:pStyle w:val="Compact"/>
            </w:pPr>
            <w:r>
              <w:t xml:space="preserve">Restore from backup and re-link</w:t>
            </w:r>
          </w:p>
        </w:tc>
      </w:tr>
    </w:tbl>
    <w:p>
      <w:pPr>
        <w:pStyle w:val="BodyText"/>
      </w:pPr>
      <w:r>
        <w:t xml:space="preserve">On those estimates the program reaches Phase 7 in roughly 34 weeks, with the last deletions about three months later. Phases 2 and 3 can overlap, because authoring doesn’t depend on co-management being live.</w:t>
      </w:r>
    </w:p>
    <w:bookmarkStart w:id="29" w:name="phase-1-inventory-and-classify"/>
    <w:p>
      <w:pPr>
        <w:pStyle w:val="Heading3"/>
      </w:pPr>
      <w:r>
        <w:t xml:space="preserve">Phase 1: inventory and classify</w:t>
      </w:r>
    </w:p>
    <w:p>
      <w:pPr>
        <w:pStyle w:val="Compact"/>
        <w:numPr>
          <w:ilvl w:val="0"/>
          <w:numId w:val="1002"/>
        </w:numPr>
      </w:pPr>
      <w:r>
        <w:t xml:space="preserve">Export every GPO as XML and catalog its links, security filtering, WMI filters and settings. Chapter 07 gives the read-only export script;</w:t>
      </w:r>
      <w:r>
        <w:t xml:space="preserve"> </w:t>
      </w:r>
      <w:r>
        <w:rPr>
          <w:rStyle w:val="VerbatimChar"/>
        </w:rPr>
        <w:t xml:space="preserve">Get-GPOReport -All -ReportType Xml</w:t>
      </w:r>
      <w:r>
        <w:t xml:space="preserve"> </w:t>
      </w:r>
      <w:r>
        <w:t xml:space="preserve">is the shape Group Policy analytics imports.</w:t>
      </w:r>
      <w:r>
        <w:rPr>
          <w:rStyle w:val="FootnoteReference"/>
        </w:rPr>
        <w:footnoteReference w:id="26"/>
      </w:r>
    </w:p>
    <w:p>
      <w:pPr>
        <w:pStyle w:val="Compact"/>
        <w:numPr>
          <w:ilvl w:val="0"/>
          <w:numId w:val="1002"/>
        </w:numPr>
      </w:pPr>
      <w:r>
        <w:t xml:space="preserve">Find GPO-on-GPO conflicts: the same setting written by more than one GPO at different OU levels. These are the conflicts OU precedence hid, and each needs a decision before Intune can own the setting.</w:t>
      </w:r>
    </w:p>
    <w:p>
      <w:pPr>
        <w:pStyle w:val="Compact"/>
        <w:numPr>
          <w:ilvl w:val="0"/>
          <w:numId w:val="1002"/>
        </w:numPr>
      </w:pPr>
      <w:r>
        <w:t xml:space="preserve">Import the XML into</w:t>
      </w:r>
      <w:r>
        <w:t xml:space="preserve"> </w:t>
      </w:r>
      <w:r>
        <w:rPr>
          <w:b/>
          <w:bCs/>
        </w:rPr>
        <w:t xml:space="preserve">Devices</w:t>
      </w:r>
      <w:r>
        <w:t xml:space="preserve"> </w:t>
      </w:r>
      <w:r>
        <w:t xml:space="preserve">&gt;</w:t>
      </w:r>
      <w:r>
        <w:t xml:space="preserve"> </w:t>
      </w:r>
      <w:r>
        <w:rPr>
          <w:b/>
          <w:bCs/>
        </w:rPr>
        <w:t xml:space="preserve">Group Policy analytics</w:t>
      </w:r>
      <w:r>
        <w:t xml:space="preserve">. For each GPO the report shows how many settings have an MDM equivalent and, per setting, the CSP and OMA-URI behind it.</w:t>
      </w:r>
      <w:r>
        <w:rPr>
          <w:rStyle w:val="FootnoteReference"/>
        </w:rPr>
        <w:footnoteReference w:id="28"/>
      </w:r>
      <w:r>
        <w:t xml:space="preserve"> </w:t>
      </w:r>
      <w:r>
        <w:t xml:space="preserve">Use it to find the landing zone, never to decide whether a setting is still needed.</w:t>
      </w:r>
    </w:p>
    <w:p>
      <w:pPr>
        <w:pStyle w:val="Compact"/>
        <w:numPr>
          <w:ilvl w:val="0"/>
          <w:numId w:val="1002"/>
        </w:numPr>
      </w:pPr>
      <w:r>
        <w:t xml:space="preserve">Classify each setting using the four tags from Chapter 07 (required, obsolete, high-risk, redundant), and record what kind of equivalent exists: a direct Intune setting, a partial one that needs adapting, none (a custom OMA-URI, a Remediation or an exception), or deprecated in the cloud-native model.</w:t>
      </w:r>
    </w:p>
    <w:p>
      <w:pPr>
        <w:pStyle w:val="Compact"/>
        <w:numPr>
          <w:ilvl w:val="0"/>
          <w:numId w:val="1002"/>
        </w:numPr>
      </w:pPr>
      <w:r>
        <w:t xml:space="preserve">Capture the baseline: the effective policy per device tier, taken with</w:t>
      </w:r>
      <w:r>
        <w:t xml:space="preserve"> </w:t>
      </w:r>
      <w:r>
        <w:rPr>
          <w:rStyle w:val="VerbatimChar"/>
        </w:rPr>
        <w:t xml:space="preserve">gpresult</w:t>
      </w:r>
      <w:r>
        <w:t xml:space="preserve"> </w:t>
      </w:r>
      <w:r>
        <w:t xml:space="preserve">on a sample of devices in each tier. Phases 4 and 5 test against it.</w:t>
      </w:r>
    </w:p>
    <w:bookmarkEnd w:id="29"/>
    <w:bookmarkStart w:id="33" w:name="phase-2-coexistence-planning"/>
    <w:p>
      <w:pPr>
        <w:pStyle w:val="Heading3"/>
      </w:pPr>
      <w:r>
        <w:t xml:space="preserve">Phase 2: coexistence planning</w:t>
      </w:r>
    </w:p>
    <w:p>
      <w:pPr>
        <w:pStyle w:val="FirstParagraph"/>
      </w:pPr>
      <w:r>
        <w:t xml:space="preserve">Where Configuration Manager manages the fleet, enable co-management for a pilot collection and set the workloads you plan to move first to</w:t>
      </w:r>
      <w:r>
        <w:t xml:space="preserve"> </w:t>
      </w:r>
      <w:r>
        <w:rPr>
          <w:b/>
          <w:bCs/>
        </w:rPr>
        <w:t xml:space="preserve">Pilot Intune</w:t>
      </w:r>
      <w:r>
        <w:t xml:space="preserve">. Confirm each pilot device’s join state and that it has synced with Intune recently, and confirm that the workloads still on Configuration Manager keep applying. Before switching any workload, the matching Intune policy must already be built, because a co-managed device synchronizes MDM policy as soon as the workload moves.</w:t>
      </w:r>
      <w:r>
        <w:rPr>
          <w:rStyle w:val="FootnoteReference"/>
        </w:rPr>
        <w:footnoteReference w:id="30"/>
      </w:r>
    </w:p>
    <w:p>
      <w:pPr>
        <w:pStyle w:val="BodyText"/>
      </w:pPr>
      <w:r>
        <w:t xml:space="preserve">This is also where the program decides, per population, whether to set</w:t>
      </w:r>
      <w:r>
        <w:t xml:space="preserve"> </w:t>
      </w:r>
      <w:r>
        <w:rPr>
          <w:rStyle w:val="VerbatimChar"/>
        </w:rPr>
        <w:t xml:space="preserve">MDMWinsOverGP</w:t>
      </w:r>
      <w:r>
        <w:t xml:space="preserve"> </w:t>
      </w:r>
      <w:r>
        <w:t xml:space="preserve">for the transition, and which settings must never be configured through both channels.</w:t>
      </w:r>
      <w:r>
        <w:t xml:space="preserve"> </w:t>
      </w:r>
      <w:hyperlink r:id="rId32">
        <w:r>
          <w:rPr>
            <w:rStyle w:val="Hyperlink"/>
          </w:rPr>
          <w:t xml:space="preserve">Chapter 07</w:t>
        </w:r>
      </w:hyperlink>
      <w:r>
        <w:t xml:space="preserve"> </w:t>
      </w:r>
      <w:r>
        <w:t xml:space="preserve">has the full rule set; it isn’t repeated here.</w:t>
      </w:r>
    </w:p>
    <w:bookmarkEnd w:id="33"/>
    <w:bookmarkStart w:id="34" w:name="phase-3-baseline-authoring"/>
    <w:p>
      <w:pPr>
        <w:pStyle w:val="Heading3"/>
      </w:pPr>
      <w:r>
        <w:t xml:space="preserve">Phase 3: baseline authoring</w:t>
      </w:r>
    </w:p>
    <w:p>
      <w:pPr>
        <w:pStyle w:val="FirstParagraph"/>
      </w:pPr>
      <w:r>
        <w:t xml:space="preserve">Build every policy in this chapter, but assign none of them.</w:t>
      </w:r>
    </w:p>
    <w:p>
      <w:pPr>
        <w:pStyle w:val="Compact"/>
        <w:numPr>
          <w:ilvl w:val="0"/>
          <w:numId w:val="1003"/>
        </w:numPr>
      </w:pPr>
      <w:r>
        <w:t xml:space="preserve">Create attack surface reduction rules and controlled folder access in audit mode.</w:t>
      </w:r>
    </w:p>
    <w:p>
      <w:pPr>
        <w:pStyle w:val="Compact"/>
        <w:numPr>
          <w:ilvl w:val="0"/>
          <w:numId w:val="1003"/>
        </w:numPr>
      </w:pPr>
      <w:r>
        <w:t xml:space="preserve">Apply scope tags so delegated administrators see only their policies.</w:t>
      </w:r>
    </w:p>
    <w:p>
      <w:pPr>
        <w:pStyle w:val="Compact"/>
        <w:numPr>
          <w:ilvl w:val="0"/>
          <w:numId w:val="1003"/>
        </w:numPr>
      </w:pPr>
      <w:r>
        <w:t xml:space="preserve">Create the dynamic groups and filters from</w:t>
      </w:r>
      <w:r>
        <w:t xml:space="preserve"> </w:t>
      </w:r>
      <w:hyperlink w:anchor="dynamic-group-and-filter-templates">
        <w:r>
          <w:rPr>
            <w:rStyle w:val="Hyperlink"/>
          </w:rPr>
          <w:t xml:space="preserve">the templates later in this chapter</w:t>
        </w:r>
      </w:hyperlink>
      <w:r>
        <w:t xml:space="preserve">.</w:t>
      </w:r>
    </w:p>
    <w:p>
      <w:pPr>
        <w:pStyle w:val="Compact"/>
        <w:numPr>
          <w:ilvl w:val="0"/>
          <w:numId w:val="1003"/>
        </w:numPr>
      </w:pPr>
      <w:r>
        <w:t xml:space="preserve">Peer review each policy against its decision records. The review checks two things: that every setting traces to a required setting in a decision record, and that no setting appears in two policies.</w:t>
      </w:r>
    </w:p>
    <w:bookmarkEnd w:id="34"/>
    <w:bookmarkStart w:id="37" w:name="phase-4-pilot"/>
    <w:p>
      <w:pPr>
        <w:pStyle w:val="Heading3"/>
      </w:pPr>
      <w:r>
        <w:t xml:space="preserve">Phase 4: pilot</w:t>
      </w:r>
    </w:p>
    <w:p>
      <w:pPr>
        <w:pStyle w:val="FirstParagraph"/>
      </w:pPr>
      <w:r>
        <w:t xml:space="preserve">The pilot cohort is about 5% of the fleet, chosen to be representative across tiers, regions and departments.</w:t>
      </w:r>
    </w:p>
    <w:p>
      <w:pPr>
        <w:pStyle w:val="Compact"/>
        <w:numPr>
          <w:ilvl w:val="0"/>
          <w:numId w:val="1004"/>
        </w:numPr>
      </w:pPr>
      <w:r>
        <w:t xml:space="preserve">Assign the compliance policies to the pilot groups with a longer grace period than production; the program uses 7 days instead of 1. The grace period is the schedule on the</w:t>
      </w:r>
      <w:r>
        <w:t xml:space="preserve"> </w:t>
      </w:r>
      <w:r>
        <w:rPr>
          <w:b/>
          <w:bCs/>
        </w:rPr>
        <w:t xml:space="preserve">Mark device noncompliant</w:t>
      </w:r>
      <w:r>
        <w:t xml:space="preserve"> </w:t>
      </w:r>
      <w:r>
        <w:t xml:space="preserve">action, set in days from 0 to 365.</w:t>
      </w:r>
      <w:r>
        <w:rPr>
          <w:rStyle w:val="FootnoteReference"/>
        </w:rPr>
        <w:footnoteReference w:id="35"/>
      </w:r>
    </w:p>
    <w:p>
      <w:pPr>
        <w:pStyle w:val="Compact"/>
        <w:numPr>
          <w:ilvl w:val="0"/>
          <w:numId w:val="1004"/>
        </w:numPr>
      </w:pPr>
      <w:r>
        <w:t xml:space="preserve">Assign the configuration profiles and endpoint security policies to the same groups.</w:t>
      </w:r>
    </w:p>
    <w:p>
      <w:pPr>
        <w:pStyle w:val="Compact"/>
        <w:numPr>
          <w:ilvl w:val="0"/>
          <w:numId w:val="1004"/>
        </w:numPr>
      </w:pPr>
      <w:r>
        <w:t xml:space="preserve">Leave the GPOs linked. The pilot measures conflicts; it doesn’t remove them.</w:t>
      </w:r>
    </w:p>
    <w:p>
      <w:pPr>
        <w:pStyle w:val="Compact"/>
        <w:numPr>
          <w:ilvl w:val="0"/>
          <w:numId w:val="1004"/>
        </w:numPr>
      </w:pPr>
      <w:r>
        <w:t xml:space="preserve">Compare each device’s</w:t>
      </w:r>
      <w:r>
        <w:t xml:space="preserve"> </w:t>
      </w:r>
      <w:r>
        <w:rPr>
          <w:rStyle w:val="VerbatimChar"/>
        </w:rPr>
        <w:t xml:space="preserve">gpresult</w:t>
      </w:r>
      <w:r>
        <w:t xml:space="preserve"> </w:t>
      </w:r>
      <w:r>
        <w:t xml:space="preserve">report with the Intune per-setting status for the same device. A setting that shows</w:t>
      </w:r>
      <w:r>
        <w:t xml:space="preserve"> </w:t>
      </w:r>
      <w:r>
        <w:rPr>
          <w:b/>
          <w:bCs/>
        </w:rPr>
        <w:t xml:space="preserve">Conflict</w:t>
      </w:r>
      <w:r>
        <w:t xml:space="preserve"> </w:t>
      </w:r>
      <w:r>
        <w:t xml:space="preserve">or</w:t>
      </w:r>
      <w:r>
        <w:t xml:space="preserve"> </w:t>
      </w:r>
      <w:r>
        <w:rPr>
          <w:b/>
          <w:bCs/>
        </w:rPr>
        <w:t xml:space="preserve">Error</w:t>
      </w:r>
      <w:r>
        <w:t xml:space="preserve"> </w:t>
      </w:r>
      <w:r>
        <w:t xml:space="preserve">in Intune, or a value in</w:t>
      </w:r>
      <w:r>
        <w:t xml:space="preserve"> </w:t>
      </w:r>
      <w:r>
        <w:rPr>
          <w:rStyle w:val="VerbatimChar"/>
        </w:rPr>
        <w:t xml:space="preserve">gpresult</w:t>
      </w:r>
      <w:r>
        <w:t xml:space="preserve"> </w:t>
      </w:r>
      <w:r>
        <w:t xml:space="preserve">that differs from the Intune value, is a finding.</w:t>
      </w:r>
    </w:p>
    <w:p>
      <w:pPr>
        <w:pStyle w:val="Compact"/>
        <w:numPr>
          <w:ilvl w:val="0"/>
          <w:numId w:val="1004"/>
        </w:numPr>
      </w:pPr>
      <w:r>
        <w:t xml:space="preserve">Test the line-of-business applications and the user experience against the Phase 1 baseline, and log every issue and exception.</w:t>
      </w:r>
    </w:p>
    <w:bookmarkEnd w:id="37"/>
    <w:bookmarkStart w:id="41" w:name="phase-5-workload-cutover-in-waves"/>
    <w:p>
      <w:pPr>
        <w:pStyle w:val="Heading3"/>
      </w:pPr>
      <w:r>
        <w:t xml:space="preserve">Phase 5: workload cutover in waves</w:t>
      </w:r>
    </w:p>
    <w:p>
      <w:pPr>
        <w:pStyle w:val="FirstParagraph"/>
      </w:pPr>
      <w:r>
        <w:t xml:space="preserve">Each wave moves one workload for the whole population, in rings: the pilot cohort first (already done in Phase 4), then about a quarter of the population, then the rest. The ring sizes are a program design choice; what matters is that each ring is watched before the next starts.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Wave</w:t>
            </w:r>
          </w:p>
        </w:tc>
        <w:tc>
          <w:tcPr/>
          <w:p>
            <w:pPr>
              <w:pStyle w:val="Compact"/>
            </w:pPr>
            <w:r>
              <w:t xml:space="preserve">Weeks</w:t>
            </w:r>
          </w:p>
        </w:tc>
        <w:tc>
          <w:tcPr/>
          <w:p>
            <w:pPr>
              <w:pStyle w:val="Compact"/>
            </w:pPr>
            <w:r>
              <w:t xml:space="preserve">Workload</w:t>
            </w:r>
          </w:p>
        </w:tc>
        <w:tc>
          <w:tcPr/>
          <w:p>
            <w:pPr>
              <w:pStyle w:val="Compact"/>
            </w:pPr>
            <w:r>
              <w:t xml:space="preserve">Work</w:t>
            </w:r>
          </w:p>
        </w:tc>
      </w:tr>
      <w:tr>
        <w:tc>
          <w:tcPr/>
          <w:p>
            <w:pPr>
              <w:pStyle w:val="Compact"/>
            </w:pPr>
            <w:r>
              <w:t xml:space="preserve">1</w:t>
            </w:r>
          </w:p>
        </w:tc>
        <w:tc>
          <w:tcPr/>
          <w:p>
            <w:pPr>
              <w:pStyle w:val="Compact"/>
            </w:pPr>
            <w:r>
              <w:t xml:space="preserve">1–3</w:t>
            </w:r>
          </w:p>
        </w:tc>
        <w:tc>
          <w:tcPr/>
          <w:p>
            <w:pPr>
              <w:pStyle w:val="Compact"/>
            </w:pPr>
            <w:r>
              <w:t xml:space="preserve">Compliance policies</w:t>
            </w:r>
          </w:p>
        </w:tc>
        <w:tc>
          <w:tcPr/>
          <w:p>
            <w:pPr>
              <w:pStyle w:val="Compact"/>
            </w:pPr>
            <w:r>
              <w:t xml:space="preserve">Move the compliance slider to Intune; assign CP-001 to CP-005 to production groups</w:t>
            </w:r>
          </w:p>
        </w:tc>
      </w:tr>
      <w:tr>
        <w:tc>
          <w:tcPr/>
          <w:p>
            <w:pPr>
              <w:pStyle w:val="Compact"/>
            </w:pPr>
            <w:r>
              <w:t xml:space="preserve">2</w:t>
            </w:r>
          </w:p>
        </w:tc>
        <w:tc>
          <w:tcPr/>
          <w:p>
            <w:pPr>
              <w:pStyle w:val="Compact"/>
            </w:pPr>
            <w:r>
              <w:t xml:space="preserve">4–6</w:t>
            </w:r>
          </w:p>
        </w:tc>
        <w:tc>
          <w:tcPr/>
          <w:p>
            <w:pPr>
              <w:pStyle w:val="Compact"/>
            </w:pPr>
            <w:r>
              <w:t xml:space="preserve">Endpoint Protection</w:t>
            </w:r>
          </w:p>
        </w:tc>
        <w:tc>
          <w:tcPr/>
          <w:p>
            <w:pPr>
              <w:pStyle w:val="Compact"/>
            </w:pPr>
            <w:r>
              <w:t xml:space="preserve">Move the Endpoint Protection slider; assign ES-001 to ES-006; disable the matching GPO links per population</w:t>
            </w:r>
          </w:p>
        </w:tc>
      </w:tr>
      <w:tr>
        <w:tc>
          <w:tcPr/>
          <w:p>
            <w:pPr>
              <w:pStyle w:val="Compact"/>
            </w:pPr>
            <w:r>
              <w:t xml:space="preserve">3</w:t>
            </w:r>
          </w:p>
        </w:tc>
        <w:tc>
          <w:tcPr/>
          <w:p>
            <w:pPr>
              <w:pStyle w:val="Compact"/>
            </w:pPr>
            <w:r>
              <w:t xml:space="preserve">7–9</w:t>
            </w:r>
          </w:p>
        </w:tc>
        <w:tc>
          <w:tcPr/>
          <w:p>
            <w:pPr>
              <w:pStyle w:val="Compact"/>
            </w:pPr>
            <w:r>
              <w:t xml:space="preserve">Device configuration</w:t>
            </w:r>
          </w:p>
        </w:tc>
        <w:tc>
          <w:tcPr/>
          <w:p>
            <w:pPr>
              <w:pStyle w:val="Compact"/>
            </w:pPr>
            <w:r>
              <w:t xml:space="preserve">Move the device configuration slider; assign SC-001, SC-003 to SC-005, SC-009 and SC-010; disable the matching GPO links per population</w:t>
            </w:r>
          </w:p>
        </w:tc>
      </w:tr>
      <w:tr>
        <w:tc>
          <w:tcPr/>
          <w:p>
            <w:pPr>
              <w:pStyle w:val="Compact"/>
            </w:pPr>
            <w:r>
              <w:t xml:space="preserve">4</w:t>
            </w:r>
          </w:p>
        </w:tc>
        <w:tc>
          <w:tcPr/>
          <w:p>
            <w:pPr>
              <w:pStyle w:val="Compact"/>
            </w:pPr>
            <w:r>
              <w:t xml:space="preserve">10–12</w:t>
            </w:r>
          </w:p>
        </w:tc>
        <w:tc>
          <w:tcPr/>
          <w:p>
            <w:pPr>
              <w:pStyle w:val="Compact"/>
            </w:pPr>
            <w:r>
              <w:t xml:space="preserve">Windows Update policies</w:t>
            </w:r>
          </w:p>
        </w:tc>
        <w:tc>
          <w:tcPr/>
          <w:p>
            <w:pPr>
              <w:pStyle w:val="Compact"/>
            </w:pPr>
            <w:r>
              <w:t xml:space="preserve">Move the Windows Update slider; assign the update rings (</w:t>
            </w:r>
            <w:hyperlink r:id="rId38">
              <w:r>
                <w:rPr>
                  <w:rStyle w:val="Hyperlink"/>
                </w:rPr>
                <w:t xml:space="preserve">Chapter 10</w:t>
              </w:r>
            </w:hyperlink>
            <w:r>
              <w:t xml:space="preserve">); stop WSUS for migrated devices</w:t>
            </w:r>
          </w:p>
        </w:tc>
      </w:tr>
    </w:tbl>
    <w:p>
      <w:pPr>
        <w:pStyle w:val="BodyText"/>
      </w:pPr>
      <w:r>
        <w:t xml:space="preserve">The source plan moved device configuration before Endpoint Protection. That order doesn’t work on co-managed devices: switching the device configuration workload also moves Endpoint Protection and resource access, so the two can’t be separated once device configuration moves.</w:t>
      </w:r>
      <w:r>
        <w:rPr>
          <w:rStyle w:val="FootnoteReference"/>
        </w:rPr>
        <w:footnoteReference w:id="39"/>
      </w:r>
      <w:r>
        <w:t xml:space="preserve"> </w:t>
      </w:r>
      <w:r>
        <w:t xml:space="preserve">Endpoint Protection goes first, on its own slider, and device configuration follows. After each wave, validate, watch for 72 hours, and only then start the next.</w:t>
      </w:r>
    </w:p>
    <w:bookmarkEnd w:id="41"/>
    <w:bookmarkStart w:id="43" w:name="X38fef937f92fe000d67e653a61de0043cf7e7dc"/>
    <w:p>
      <w:pPr>
        <w:pStyle w:val="Heading3"/>
      </w:pPr>
      <w:r>
        <w:t xml:space="preserve">Phase 6: verification and residual cleanup</w:t>
      </w:r>
    </w:p>
    <w:p>
      <w:pPr>
        <w:pStyle w:val="FirstParagraph"/>
      </w:pPr>
      <w:r>
        <w:t xml:space="preserve">Disable the remaining GPO links for migrated populations, one population at a time, with the link procedure in</w:t>
      </w:r>
      <w:r>
        <w:t xml:space="preserve"> </w:t>
      </w:r>
      <w:hyperlink r:id="rId42">
        <w:r>
          <w:rPr>
            <w:rStyle w:val="Hyperlink"/>
          </w:rPr>
          <w:t xml:space="preserve">Chapter 07</w:t>
        </w:r>
      </w:hyperlink>
      <w:r>
        <w:t xml:space="preserve">. Then deal with what unlinking leaves behind: Group Policy preference items that weren’t set to remove themselves stay on the device, so each one needs an Intune setting that takes over the value or a Remediation that clears it.</w:t>
      </w:r>
    </w:p>
    <w:p>
      <w:pPr>
        <w:pStyle w:val="BodyText"/>
      </w:pPr>
      <w:r>
        <w:t xml:space="preserve">The source plan also blocked inheritance on migrated OUs. The program doesn’t: blocking inheritance stops every higher-level GPO, including domain-level policy that hybrid-joined devices and exceptions still need, and it hides the remaining links rather than retiring them. Disabling specific links keeps the change scoped and reversible.</w:t>
      </w:r>
    </w:p>
    <w:bookmarkEnd w:id="43"/>
    <w:bookmarkStart w:id="44" w:name="phase-7-formal-retirement"/>
    <w:p>
      <w:pPr>
        <w:pStyle w:val="Heading3"/>
      </w:pPr>
      <w:r>
        <w:t xml:space="preserve">Phase 7: formal retirement</w:t>
      </w:r>
    </w:p>
    <w:p>
      <w:pPr>
        <w:pStyle w:val="FirstParagraph"/>
      </w:pPr>
      <w:r>
        <w:t xml:space="preserve">Disable each GPO object rather than deleting it and keep it for 90 days as a rollback net. After 90 days without a regression, back it up, archive the backup, and delete the GPO from Active Directory. Update the program’s documentation so Intune is recorded as the authority for every migrated setting, and close the exception register with an owner and review date on every entry that remains.</w:t>
      </w:r>
    </w:p>
    <w:bookmarkEnd w:id="44"/>
    <w:bookmarkStart w:id="45" w:name="testing-at-each-gate"/>
    <w:p>
      <w:pPr>
        <w:pStyle w:val="Heading3"/>
      </w:pPr>
      <w:r>
        <w:t xml:space="preserve">Testing at each gate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Gate</w:t>
            </w:r>
          </w:p>
        </w:tc>
        <w:tc>
          <w:tcPr/>
          <w:p>
            <w:pPr>
              <w:pStyle w:val="Compact"/>
            </w:pPr>
            <w:r>
              <w:t xml:space="preserve">Test</w:t>
            </w:r>
          </w:p>
        </w:tc>
        <w:tc>
          <w:tcPr/>
          <w:p>
            <w:pPr>
              <w:pStyle w:val="Compact"/>
            </w:pPr>
            <w:r>
              <w:t xml:space="preserve">Pass condition</w:t>
            </w:r>
          </w:p>
        </w:tc>
      </w:tr>
      <w:tr>
        <w:tc>
          <w:tcPr/>
          <w:p>
            <w:pPr>
              <w:pStyle w:val="Compact"/>
            </w:pPr>
            <w:r>
              <w:t xml:space="preserve">Phase 1</w:t>
            </w:r>
          </w:p>
        </w:tc>
        <w:tc>
          <w:tcPr/>
          <w:p>
            <w:pPr>
              <w:pStyle w:val="Compact"/>
            </w:pPr>
            <w:r>
              <w:t xml:space="preserve">Group Policy analytics import and decision records</w:t>
            </w:r>
          </w:p>
        </w:tc>
        <w:tc>
          <w:tcPr/>
          <w:p>
            <w:pPr>
              <w:pStyle w:val="Compact"/>
            </w:pPr>
            <w:r>
              <w:t xml:space="preserve">Every in-scope GPO imported; every setting tagged and given a disposition</w:t>
            </w:r>
          </w:p>
        </w:tc>
      </w:tr>
      <w:tr>
        <w:tc>
          <w:tcPr/>
          <w:p>
            <w:pPr>
              <w:pStyle w:val="Compact"/>
            </w:pPr>
            <w:r>
              <w:t xml:space="preserve">Phase 3</w:t>
            </w:r>
          </w:p>
        </w:tc>
        <w:tc>
          <w:tcPr/>
          <w:p>
            <w:pPr>
              <w:pStyle w:val="Compact"/>
            </w:pPr>
            <w:r>
              <w:t xml:space="preserve">Peer review; a test ring of lab devices</w:t>
            </w:r>
          </w:p>
        </w:tc>
        <w:tc>
          <w:tcPr/>
          <w:p>
            <w:pPr>
              <w:pStyle w:val="Compact"/>
            </w:pPr>
            <w:r>
              <w:t xml:space="preserve">No setting in two policies; lab devices report</w:t>
            </w:r>
            <w:r>
              <w:t xml:space="preserve"> </w:t>
            </w:r>
            <w:r>
              <w:rPr>
                <w:b/>
                <w:bCs/>
              </w:rPr>
              <w:t xml:space="preserve">Succeeded</w:t>
            </w:r>
            <w:r>
              <w:t xml:space="preserve"> </w:t>
            </w:r>
            <w:r>
              <w:t xml:space="preserve">for every setting</w:t>
            </w:r>
          </w:p>
        </w:tc>
      </w:tr>
      <w:tr>
        <w:tc>
          <w:tcPr/>
          <w:p>
            <w:pPr>
              <w:pStyle w:val="Compact"/>
            </w:pPr>
            <w:r>
              <w:t xml:space="preserve">Phase 4</w:t>
            </w:r>
          </w:p>
        </w:tc>
        <w:tc>
          <w:tcPr/>
          <w:p>
            <w:pPr>
              <w:pStyle w:val="Compact"/>
            </w:pPr>
            <w:r>
              <w:rPr>
                <w:rStyle w:val="VerbatimChar"/>
              </w:rPr>
              <w:t xml:space="preserve">gpresult</w:t>
            </w:r>
            <w:r>
              <w:t xml:space="preserve"> </w:t>
            </w:r>
            <w:r>
              <w:t xml:space="preserve">against Intune per-setting status; application test scripts; user feedback</w:t>
            </w:r>
          </w:p>
        </w:tc>
        <w:tc>
          <w:tcPr/>
          <w:p>
            <w:pPr>
              <w:pStyle w:val="Compact"/>
            </w:pPr>
            <w:r>
              <w:t xml:space="preserve">No unexplained</w:t>
            </w:r>
            <w:r>
              <w:t xml:space="preserve"> </w:t>
            </w:r>
            <w:r>
              <w:rPr>
                <w:b/>
                <w:bCs/>
              </w:rPr>
              <w:t xml:space="preserve">Conflict</w:t>
            </w:r>
            <w:r>
              <w:t xml:space="preserve"> </w:t>
            </w:r>
            <w:r>
              <w:t xml:space="preserve">or</w:t>
            </w:r>
            <w:r>
              <w:t xml:space="preserve"> </w:t>
            </w:r>
            <w:r>
              <w:rPr>
                <w:b/>
                <w:bCs/>
              </w:rPr>
              <w:t xml:space="preserve">Error</w:t>
            </w:r>
            <w:r>
              <w:t xml:space="preserve">; no application regressions against the baseline</w:t>
            </w:r>
          </w:p>
        </w:tc>
      </w:tr>
      <w:tr>
        <w:tc>
          <w:tcPr/>
          <w:p>
            <w:pPr>
              <w:pStyle w:val="Compact"/>
            </w:pPr>
            <w:r>
              <w:t xml:space="preserve">Phase 5, each wave</w:t>
            </w:r>
          </w:p>
        </w:tc>
        <w:tc>
          <w:tcPr/>
          <w:p>
            <w:pPr>
              <w:pStyle w:val="Compact"/>
            </w:pPr>
            <w:r>
              <w:t xml:space="preserve">Per-setting status for the wave’s policies; help desk ticket volume</w:t>
            </w:r>
          </w:p>
        </w:tc>
        <w:tc>
          <w:tcPr/>
          <w:p>
            <w:pPr>
              <w:pStyle w:val="Compact"/>
            </w:pPr>
            <w:r>
              <w:t xml:space="preserve">Success on the ring’s population; no rise in tickets attributable to the change during the 72-hour watch</w:t>
            </w:r>
          </w:p>
        </w:tc>
      </w:tr>
      <w:tr>
        <w:tc>
          <w:tcPr/>
          <w:p>
            <w:pPr>
              <w:pStyle w:val="Compact"/>
            </w:pPr>
            <w:r>
              <w:t xml:space="preserve">Phase 6</w:t>
            </w:r>
          </w:p>
        </w:tc>
        <w:tc>
          <w:tcPr/>
          <w:p>
            <w:pPr>
              <w:pStyle w:val="Compact"/>
            </w:pPr>
            <w:r>
              <w:t xml:space="preserve">Device-side check that no in-scope GPO applies; preference-item inventory</w:t>
            </w:r>
          </w:p>
        </w:tc>
        <w:tc>
          <w:tcPr/>
          <w:p>
            <w:pPr>
              <w:pStyle w:val="Compact"/>
            </w:pPr>
            <w:r>
              <w:t xml:space="preserve">No migrated device processes an in-scope GPO; every preference item cleared or owned</w:t>
            </w:r>
          </w:p>
        </w:tc>
      </w:tr>
      <w:tr>
        <w:tc>
          <w:tcPr/>
          <w:p>
            <w:pPr>
              <w:pStyle w:val="Compact"/>
            </w:pPr>
            <w:r>
              <w:t xml:space="preserve">Phase 7</w:t>
            </w:r>
          </w:p>
        </w:tc>
        <w:tc>
          <w:tcPr/>
          <w:p>
            <w:pPr>
              <w:pStyle w:val="Compact"/>
            </w:pPr>
            <w:r>
              <w:t xml:space="preserve">Backup verification before deletion</w:t>
            </w:r>
          </w:p>
        </w:tc>
        <w:tc>
          <w:tcPr/>
          <w:p>
            <w:pPr>
              <w:pStyle w:val="Compact"/>
            </w:pPr>
            <w:r>
              <w:t xml:space="preserve">Backup restores in a test domain or a GPMC restore test</w:t>
            </w:r>
          </w:p>
        </w:tc>
      </w:tr>
    </w:tbl>
    <w:bookmarkEnd w:id="45"/>
    <w:bookmarkStart w:id="48" w:name="rollback"/>
    <w:p>
      <w:pPr>
        <w:pStyle w:val="Heading3"/>
      </w:pPr>
      <w:r>
        <w:t xml:space="preserve">Rollback</w:t>
      </w:r>
    </w:p>
    <w:p>
      <w:pPr>
        <w:pStyle w:val="FirstParagraph"/>
      </w:pPr>
      <w:r>
        <w:t xml:space="preserve">Rollback is defined for every phase before the phase starts. Three facts shape it:</w:t>
      </w:r>
    </w:p>
    <w:p>
      <w:pPr>
        <w:pStyle w:val="Compact"/>
        <w:numPr>
          <w:ilvl w:val="0"/>
          <w:numId w:val="1005"/>
        </w:numPr>
      </w:pPr>
      <w:r>
        <w:rPr>
          <w:b/>
          <w:bCs/>
        </w:rPr>
        <w:t xml:space="preserve">Pilot doesn’t clean up.</w:t>
      </w:r>
      <w:r>
        <w:t xml:space="preserve"> </w:t>
      </w:r>
      <w:r>
        <w:t xml:space="preserve">With</w:t>
      </w:r>
      <w:r>
        <w:t xml:space="preserve"> </w:t>
      </w:r>
      <w:r>
        <w:rPr>
          <w:b/>
          <w:bCs/>
        </w:rPr>
        <w:t xml:space="preserve">Pilot Intune</w:t>
      </w:r>
      <w:r>
        <w:t xml:space="preserve"> </w:t>
      </w:r>
      <w:r>
        <w:t xml:space="preserve">selected for Endpoint Protection or device configuration, Intune deploys policies but doesn’t remove them when they are unassigned; removal needs the workload switched fully to Intune.</w:t>
      </w:r>
      <w:r>
        <w:rPr>
          <w:rStyle w:val="FootnoteReference"/>
        </w:rPr>
        <w:footnoteReference w:id="46"/>
      </w:r>
      <w:r>
        <w:t xml:space="preserve"> </w:t>
      </w:r>
      <w:r>
        <w:t xml:space="preserve">Rolling a pilot back means reassigning a policy that sets the old value, not just removing the assignment.</w:t>
      </w:r>
    </w:p>
    <w:p>
      <w:pPr>
        <w:pStyle w:val="Compact"/>
        <w:numPr>
          <w:ilvl w:val="0"/>
          <w:numId w:val="1005"/>
        </w:numPr>
      </w:pPr>
      <w:r>
        <w:rPr>
          <w:b/>
          <w:bCs/>
        </w:rPr>
        <w:t xml:space="preserve">Moving a workload back has side effects.</w:t>
      </w:r>
      <w:r>
        <w:t xml:space="preserve"> </w:t>
      </w:r>
      <w:r>
        <w:t xml:space="preserve">Microsoft notes that switching a workload back to Configuration Manager can leave some state behind; for example, Windows and Office stay at the later versions Intune installed.</w:t>
      </w:r>
      <w:r>
        <w:rPr>
          <w:rStyle w:val="FootnoteReference"/>
        </w:rPr>
        <w:footnoteReference w:id="47"/>
      </w:r>
    </w:p>
    <w:p>
      <w:pPr>
        <w:pStyle w:val="Compact"/>
        <w:numPr>
          <w:ilvl w:val="0"/>
          <w:numId w:val="1005"/>
        </w:numPr>
      </w:pPr>
      <w:r>
        <w:rPr>
          <w:b/>
          <w:bCs/>
        </w:rPr>
        <w:t xml:space="preserve">Disabled links come back with one command.</w:t>
      </w:r>
      <w:r>
        <w:t xml:space="preserve"> </w:t>
      </w:r>
      <w:r>
        <w:t xml:space="preserve">Because Phase 5 and Phase 6 disable links rather than delete GPOs, the GPO path is restored by re-enabling the link for the affected population.</w:t>
      </w:r>
    </w:p>
    <w:bookmarkEnd w:id="48"/>
    <w:bookmarkEnd w:id="49"/>
    <w:bookmarkStart w:id="70" w:name="policy-architecture"/>
    <w:p>
      <w:pPr>
        <w:pStyle w:val="Heading2"/>
      </w:pPr>
      <w:r>
        <w:t xml:space="preserve">Policy architecture</w:t>
      </w:r>
    </w:p>
    <w:bookmarkStart w:id="54" w:name="policy-types"/>
    <w:p>
      <w:pPr>
        <w:pStyle w:val="Heading3"/>
      </w:pPr>
      <w:r>
        <w:t xml:space="preserve">Policy types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Policy type</w:t>
            </w:r>
          </w:p>
        </w:tc>
        <w:tc>
          <w:tcPr/>
          <w:p>
            <w:pPr>
              <w:pStyle w:val="Compact"/>
            </w:pPr>
            <w:r>
              <w:t xml:space="preserve">Purpose</w:t>
            </w:r>
          </w:p>
        </w:tc>
        <w:tc>
          <w:tcPr/>
          <w:p>
            <w:pPr>
              <w:pStyle w:val="Compact"/>
            </w:pPr>
            <w:r>
              <w:t xml:space="preserve">ID prefix</w:t>
            </w:r>
          </w:p>
        </w:tc>
        <w:tc>
          <w:tcPr/>
          <w:p>
            <w:pPr>
              <w:pStyle w:val="Compact"/>
            </w:pPr>
            <w:r>
              <w:t xml:space="preserve">Where in the Intune admin center</w:t>
            </w:r>
          </w:p>
        </w:tc>
      </w:tr>
      <w:tr>
        <w:tc>
          <w:tcPr/>
          <w:p>
            <w:pPr>
              <w:pStyle w:val="Compact"/>
            </w:pPr>
            <w:r>
              <w:t xml:space="preserve">Compliance policy</w:t>
            </w:r>
          </w:p>
        </w:tc>
        <w:tc>
          <w:tcPr/>
          <w:p>
            <w:pPr>
              <w:pStyle w:val="Compact"/>
            </w:pPr>
            <w:r>
              <w:t xml:space="preserve">Defines the minimum security posture; Conditional Access consumes the result</w:t>
            </w:r>
          </w:p>
        </w:tc>
        <w:tc>
          <w:tcPr/>
          <w:p>
            <w:pPr>
              <w:pStyle w:val="Compact"/>
            </w:pPr>
            <w:r>
              <w:t xml:space="preserve">CP-xxx</w:t>
            </w:r>
          </w:p>
        </w:tc>
        <w:tc>
          <w:tcPr/>
          <w:p>
            <w:pPr>
              <w:pStyle w:val="Compact"/>
            </w:pPr>
            <w:r>
              <w:rPr>
                <w:b/>
                <w:bCs/>
              </w:rPr>
              <w:t xml:space="preserve">Devices</w:t>
            </w:r>
            <w:r>
              <w:t xml:space="preserve"> </w:t>
            </w:r>
            <w:r>
              <w:t xml:space="preserve">&gt;</w:t>
            </w:r>
            <w:r>
              <w:t xml:space="preserve"> </w:t>
            </w:r>
            <w:r>
              <w:rPr>
                <w:b/>
                <w:bCs/>
              </w:rPr>
              <w:t xml:space="preserve">Compliance</w:t>
            </w:r>
          </w:p>
        </w:tc>
      </w:tr>
      <w:tr>
        <w:tc>
          <w:tcPr/>
          <w:p>
            <w:pPr>
              <w:pStyle w:val="Compact"/>
            </w:pPr>
            <w:r>
              <w:t xml:space="preserve">Configuration profile (settings catalog)</w:t>
            </w:r>
          </w:p>
        </w:tc>
        <w:tc>
          <w:tcPr/>
          <w:p>
            <w:pPr>
              <w:pStyle w:val="Compact"/>
            </w:pPr>
            <w:r>
              <w:t xml:space="preserve">Delivers device settings; replaces ADMX-backed GPO settings and many preferences</w:t>
            </w:r>
          </w:p>
        </w:tc>
        <w:tc>
          <w:tcPr/>
          <w:p>
            <w:pPr>
              <w:pStyle w:val="Compact"/>
            </w:pPr>
            <w:r>
              <w:t xml:space="preserve">SC-xxx</w:t>
            </w:r>
          </w:p>
        </w:tc>
        <w:tc>
          <w:tcPr/>
          <w:p>
            <w:pPr>
              <w:pStyle w:val="Compact"/>
            </w:pPr>
            <w:r>
              <w:rPr>
                <w:b/>
                <w:bCs/>
              </w:rPr>
              <w:t xml:space="preserve">Devices</w:t>
            </w:r>
            <w:r>
              <w:t xml:space="preserve"> </w:t>
            </w:r>
            <w:r>
              <w:t xml:space="preserve">&gt;</w:t>
            </w:r>
            <w:r>
              <w:t xml:space="preserve"> </w:t>
            </w:r>
            <w:r>
              <w:rPr>
                <w:b/>
                <w:bCs/>
              </w:rPr>
              <w:t xml:space="preserve">Configuration</w:t>
            </w:r>
          </w:p>
        </w:tc>
      </w:tr>
      <w:tr>
        <w:tc>
          <w:tcPr/>
          <w:p>
            <w:pPr>
              <w:pStyle w:val="Compact"/>
            </w:pPr>
            <w:r>
              <w:t xml:space="preserve">Endpoint security policy</w:t>
            </w:r>
          </w:p>
        </w:tc>
        <w:tc>
          <w:tcPr/>
          <w:p>
            <w:pPr>
              <w:pStyle w:val="Compact"/>
            </w:pPr>
            <w:r>
              <w:t xml:space="preserve">Security-focused policy for antivirus, firewall, disk encryption, EDR, attack surface reduction and account protection</w:t>
            </w:r>
          </w:p>
        </w:tc>
        <w:tc>
          <w:tcPr/>
          <w:p>
            <w:pPr>
              <w:pStyle w:val="Compact"/>
            </w:pPr>
            <w:r>
              <w:t xml:space="preserve">ES-xxx</w:t>
            </w:r>
          </w:p>
        </w:tc>
        <w:tc>
          <w:tcPr/>
          <w:p>
            <w:pPr>
              <w:pStyle w:val="Compact"/>
            </w:pPr>
            <w:r>
              <w:rPr>
                <w:b/>
                <w:bCs/>
              </w:rPr>
              <w:t xml:space="preserve">Endpoint security</w:t>
            </w:r>
            <w:r>
              <w:t xml:space="preserve"> </w:t>
            </w:r>
            <w:r>
              <w:t xml:space="preserve">&gt;</w:t>
            </w:r>
            <w:r>
              <w:t xml:space="preserve"> </w:t>
            </w:r>
            <w:r>
              <w:rPr>
                <w:i/>
                <w:iCs/>
              </w:rPr>
              <w:t xml:space="preserve">category</w:t>
            </w:r>
          </w:p>
        </w:tc>
      </w:tr>
      <w:tr>
        <w:tc>
          <w:tcPr/>
          <w:p>
            <w:pPr>
              <w:pStyle w:val="Compact"/>
            </w:pPr>
            <w:r>
              <w:t xml:space="preserve">App protection policy</w:t>
            </w:r>
          </w:p>
        </w:tc>
        <w:tc>
          <w:tcPr/>
          <w:p>
            <w:pPr>
              <w:pStyle w:val="Compact"/>
            </w:pPr>
            <w:r>
              <w:t xml:space="preserve">Protects organizational data inside managed apps, including on personal devices that aren’t enrolled</w:t>
            </w:r>
          </w:p>
        </w:tc>
        <w:tc>
          <w:tcPr/>
          <w:p>
            <w:pPr>
              <w:pStyle w:val="Compact"/>
            </w:pPr>
            <w:r>
              <w:t xml:space="preserve">AP-xxx</w:t>
            </w:r>
          </w:p>
        </w:tc>
        <w:tc>
          <w:tcPr/>
          <w:p>
            <w:pPr>
              <w:pStyle w:val="Compact"/>
            </w:pPr>
            <w:r>
              <w:rPr>
                <w:b/>
                <w:bCs/>
              </w:rPr>
              <w:t xml:space="preserve">Apps</w:t>
            </w:r>
            <w:r>
              <w:t xml:space="preserve"> </w:t>
            </w:r>
            <w:r>
              <w:t xml:space="preserve">&gt;</w:t>
            </w:r>
            <w:r>
              <w:t xml:space="preserve"> </w:t>
            </w:r>
            <w:r>
              <w:rPr>
                <w:b/>
                <w:bCs/>
              </w:rPr>
              <w:t xml:space="preserve">App protection policies</w:t>
            </w:r>
          </w:p>
        </w:tc>
      </w:tr>
      <w:tr>
        <w:tc>
          <w:tcPr/>
          <w:p>
            <w:pPr>
              <w:pStyle w:val="Compact"/>
            </w:pPr>
            <w:r>
              <w:t xml:space="preserve">App configuration policy</w:t>
            </w:r>
          </w:p>
        </w:tc>
        <w:tc>
          <w:tcPr/>
          <w:p>
            <w:pPr>
              <w:pStyle w:val="Compact"/>
            </w:pPr>
            <w:r>
              <w:t xml:space="preserve">Pushes app-specific key and value settings to managed apps</w:t>
            </w:r>
          </w:p>
        </w:tc>
        <w:tc>
          <w:tcPr/>
          <w:p>
            <w:pPr>
              <w:pStyle w:val="Compact"/>
            </w:pPr>
            <w:r>
              <w:t xml:space="preserve">AC-xxx</w:t>
            </w:r>
          </w:p>
        </w:tc>
        <w:tc>
          <w:tcPr/>
          <w:p>
            <w:pPr>
              <w:pStyle w:val="Compact"/>
            </w:pPr>
            <w:r>
              <w:rPr>
                <w:b/>
                <w:bCs/>
              </w:rPr>
              <w:t xml:space="preserve">Apps</w:t>
            </w:r>
            <w:r>
              <w:t xml:space="preserve"> </w:t>
            </w:r>
            <w:r>
              <w:t xml:space="preserve">&gt;</w:t>
            </w:r>
            <w:r>
              <w:t xml:space="preserve"> </w:t>
            </w:r>
            <w:r>
              <w:rPr>
                <w:b/>
                <w:bCs/>
              </w:rPr>
              <w:t xml:space="preserve">App configuration policies</w:t>
            </w:r>
          </w:p>
        </w:tc>
      </w:tr>
    </w:tbl>
    <w:p>
      <w:pPr>
        <w:pStyle w:val="BodyText"/>
      </w:pPr>
      <w:r>
        <w:t xml:space="preserve">Conflicts between these types follow Microsoft’s rules, not the ones in the source material. A compliance policy’s setting takes precedence over the same setting in a configuration policy, and between compliance policies the most restrictive value applies. Between configuration policies of any kind (settings catalog, endpoint security, security baselines) there is no precedence: the conflict is reported and must be resolved by hand, and the setting may not apply until it is.</w:t>
      </w:r>
      <w:r>
        <w:rPr>
          <w:rStyle w:val="FootnoteReference"/>
        </w:rPr>
        <w:footnoteReference w:id="50"/>
      </w:r>
      <w:r>
        <w:rPr>
          <w:rStyle w:val="FootnoteReference"/>
        </w:rPr>
        <w:footnoteReference w:id="52"/>
      </w:r>
      <w:r>
        <w:t xml:space="preserve"> </w:t>
      </w:r>
      <w:r>
        <w:t xml:space="preserve">The source’s</w:t>
      </w:r>
      <w:r>
        <w:t xml:space="preserve"> </w:t>
      </w:r>
      <w:r>
        <w:t xml:space="preserve">“last write wins”</w:t>
      </w:r>
      <w:r>
        <w:t xml:space="preserve"> </w:t>
      </w:r>
      <w:r>
        <w:t xml:space="preserve">for profiles and</w:t>
      </w:r>
      <w:r>
        <w:t xml:space="preserve"> </w:t>
      </w:r>
      <w:r>
        <w:t xml:space="preserve">“endpoint security wins over profiles”</w:t>
      </w:r>
      <w:r>
        <w:t xml:space="preserve"> </w:t>
      </w:r>
      <w:r>
        <w:t xml:space="preserve">were both wrong. The program’s rule is the one in Chapter 07: each setting has exactly one owning policy.</w:t>
      </w:r>
    </w:p>
    <w:bookmarkEnd w:id="54"/>
    <w:bookmarkStart w:id="60" w:name="the-device-attribute-schema"/>
    <w:p>
      <w:pPr>
        <w:pStyle w:val="Heading3"/>
      </w:pPr>
      <w:r>
        <w:t xml:space="preserve">The device attribute schema</w:t>
      </w:r>
    </w:p>
    <w:p>
      <w:pPr>
        <w:pStyle w:val="FirstParagraph"/>
      </w:pPr>
      <w:r>
        <w:t xml:space="preserve">Every policy is assigned to dynamic device groups built from attributes, which replaces OU-linked GPO scoping. Microsoft Entra dynamic membership rules for devices can use</w:t>
      </w:r>
      <w:r>
        <w:t xml:space="preserve"> </w:t>
      </w:r>
      <w:r>
        <w:rPr>
          <w:rStyle w:val="VerbatimChar"/>
        </w:rPr>
        <w:t xml:space="preserve">extensionAttribute1</w:t>
      </w:r>
      <w:r>
        <w:t xml:space="preserve"> </w:t>
      </w:r>
      <w:r>
        <w:t xml:space="preserve">through</w:t>
      </w:r>
      <w:r>
        <w:t xml:space="preserve"> </w:t>
      </w:r>
      <w:r>
        <w:rPr>
          <w:rStyle w:val="VerbatimChar"/>
        </w:rPr>
        <w:t xml:space="preserve">extensionAttribute15</w:t>
      </w:r>
      <w:r>
        <w:t xml:space="preserve">, but those values must be written to the Entra device object first, through Microsoft Graph.</w:t>
      </w:r>
      <w:r>
        <w:rPr>
          <w:rStyle w:val="FootnoteReference"/>
        </w:rPr>
        <w:footnoteReference w:id="55"/>
      </w:r>
      <w:r>
        <w:t xml:space="preserve"> </w:t>
      </w:r>
      <w:r>
        <w:t xml:space="preserve">They aren’t the same attributes as the user extension attributes in</w:t>
      </w:r>
      <w:r>
        <w:t xml:space="preserve"> </w:t>
      </w:r>
      <w:hyperlink r:id="rId57">
        <w:r>
          <w:rPr>
            <w:rStyle w:val="Hyperlink"/>
          </w:rPr>
          <w:t xml:space="preserve">Book 02, Appendix C</w:t>
        </w:r>
      </w:hyperlink>
      <w:r>
        <w:t xml:space="preserve">; a device object has its own set.</w:t>
      </w:r>
    </w:p>
    <w:p>
      <w:pPr>
        <w:pStyle w:val="BodyText"/>
      </w:pPr>
      <w:r>
        <w:t xml:space="preserve">The source material used two numberings for the same attributes. The program standardizes on the one its rules actually use: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Device attribute</w:t>
            </w:r>
          </w:p>
        </w:tc>
        <w:tc>
          <w:tcPr/>
          <w:p>
            <w:pPr>
              <w:pStyle w:val="Compact"/>
            </w:pPr>
            <w:r>
              <w:t xml:space="preserve">Meaning</w:t>
            </w:r>
          </w:p>
        </w:tc>
        <w:tc>
          <w:tcPr/>
          <w:p>
            <w:pPr>
              <w:pStyle w:val="Compact"/>
            </w:pPr>
            <w:r>
              <w:t xml:space="preserve">Example values</w:t>
            </w:r>
          </w:p>
        </w:tc>
      </w:tr>
      <w:tr>
        <w:tc>
          <w:tcPr/>
          <w:p>
            <w:pPr>
              <w:pStyle w:val="Compact"/>
            </w:pPr>
            <w:r>
              <w:rPr>
                <w:rStyle w:val="VerbatimChar"/>
              </w:rPr>
              <w:t xml:space="preserve">extensionAttribute1</w:t>
            </w:r>
          </w:p>
        </w:tc>
        <w:tc>
          <w:tcPr/>
          <w:p>
            <w:pPr>
              <w:pStyle w:val="Compact"/>
            </w:pPr>
            <w:r>
              <w:t xml:space="preserve">Region</w:t>
            </w:r>
          </w:p>
        </w:tc>
        <w:tc>
          <w:tcPr/>
          <w:p>
            <w:pPr>
              <w:pStyle w:val="Compact"/>
            </w:pPr>
            <w:r>
              <w:rPr>
                <w:rStyle w:val="VerbatimChar"/>
              </w:rPr>
              <w:t xml:space="preserve">EAST</w:t>
            </w:r>
            <w:r>
              <w:t xml:space="preserve">,</w:t>
            </w:r>
            <w:r>
              <w:t xml:space="preserve"> </w:t>
            </w:r>
            <w:r>
              <w:rPr>
                <w:rStyle w:val="VerbatimChar"/>
              </w:rPr>
              <w:t xml:space="preserve">WEST</w:t>
            </w:r>
            <w:r>
              <w:t xml:space="preserve">,</w:t>
            </w:r>
            <w:r>
              <w:t xml:space="preserve"> </w:t>
            </w:r>
            <w:r>
              <w:rPr>
                <w:rStyle w:val="VerbatimChar"/>
              </w:rPr>
              <w:t xml:space="preserve">CENTRAL</w:t>
            </w:r>
          </w:p>
        </w:tc>
      </w:tr>
      <w:tr>
        <w:tc>
          <w:tcPr/>
          <w:p>
            <w:pPr>
              <w:pStyle w:val="Compact"/>
            </w:pPr>
            <w:r>
              <w:rPr>
                <w:rStyle w:val="VerbatimChar"/>
              </w:rPr>
              <w:t xml:space="preserve">extensionAttribute3</w:t>
            </w:r>
          </w:p>
        </w:tc>
        <w:tc>
          <w:tcPr/>
          <w:p>
            <w:pPr>
              <w:pStyle w:val="Compact"/>
            </w:pPr>
            <w:r>
              <w:t xml:space="preserve">Department or function</w:t>
            </w:r>
          </w:p>
        </w:tc>
        <w:tc>
          <w:tcPr/>
          <w:p>
            <w:pPr>
              <w:pStyle w:val="Compact"/>
            </w:pPr>
            <w:r>
              <w:rPr>
                <w:rStyle w:val="VerbatimChar"/>
              </w:rPr>
              <w:t xml:space="preserve">Governance</w:t>
            </w:r>
            <w:r>
              <w:t xml:space="preserve">,</w:t>
            </w:r>
            <w:r>
              <w:t xml:space="preserve"> </w:t>
            </w:r>
            <w:r>
              <w:rPr>
                <w:rStyle w:val="VerbatimChar"/>
              </w:rPr>
              <w:t xml:space="preserve">Engineering</w:t>
            </w:r>
            <w:r>
              <w:t xml:space="preserve">,</w:t>
            </w:r>
            <w:r>
              <w:t xml:space="preserve"> </w:t>
            </w:r>
            <w:r>
              <w:rPr>
                <w:rStyle w:val="VerbatimChar"/>
              </w:rPr>
              <w:t xml:space="preserve">Finance</w:t>
            </w:r>
          </w:p>
        </w:tc>
      </w:tr>
      <w:tr>
        <w:tc>
          <w:tcPr/>
          <w:p>
            <w:pPr>
              <w:pStyle w:val="Compact"/>
            </w:pPr>
            <w:r>
              <w:rPr>
                <w:rStyle w:val="VerbatimChar"/>
              </w:rPr>
              <w:t xml:space="preserve">extensionAttribute11</w:t>
            </w:r>
          </w:p>
        </w:tc>
        <w:tc>
          <w:tcPr/>
          <w:p>
            <w:pPr>
              <w:pStyle w:val="Compact"/>
            </w:pPr>
            <w:r>
              <w:t xml:space="preserve">Security tier</w:t>
            </w:r>
          </w:p>
        </w:tc>
        <w:tc>
          <w:tcPr/>
          <w:p>
            <w:pPr>
              <w:pStyle w:val="Compact"/>
            </w:pPr>
            <w:r>
              <w:rPr>
                <w:rStyle w:val="VerbatimChar"/>
              </w:rPr>
              <w:t xml:space="preserve">Tier0</w:t>
            </w:r>
            <w:r>
              <w:t xml:space="preserve">,</w:t>
            </w:r>
            <w:r>
              <w:t xml:space="preserve"> </w:t>
            </w:r>
            <w:r>
              <w:rPr>
                <w:rStyle w:val="VerbatimChar"/>
              </w:rPr>
              <w:t xml:space="preserve">Tier1</w:t>
            </w:r>
            <w:r>
              <w:t xml:space="preserve">,</w:t>
            </w:r>
            <w:r>
              <w:t xml:space="preserve"> </w:t>
            </w:r>
            <w:r>
              <w:rPr>
                <w:rStyle w:val="VerbatimChar"/>
              </w:rPr>
              <w:t xml:space="preserve">Tier2</w:t>
            </w:r>
          </w:p>
        </w:tc>
      </w:tr>
      <w:tr>
        <w:tc>
          <w:tcPr/>
          <w:p>
            <w:pPr>
              <w:pStyle w:val="Compact"/>
            </w:pPr>
            <w:r>
              <w:rPr>
                <w:rStyle w:val="VerbatimChar"/>
              </w:rPr>
              <w:t xml:space="preserve">extensionAttribute12</w:t>
            </w:r>
          </w:p>
        </w:tc>
        <w:tc>
          <w:tcPr/>
          <w:p>
            <w:pPr>
              <w:pStyle w:val="Compact"/>
            </w:pPr>
            <w:r>
              <w:t xml:space="preserve">Device role</w:t>
            </w:r>
          </w:p>
        </w:tc>
        <w:tc>
          <w:tcPr/>
          <w:p>
            <w:pPr>
              <w:pStyle w:val="Compact"/>
            </w:pPr>
            <w:r>
              <w:rPr>
                <w:rStyle w:val="VerbatimChar"/>
              </w:rPr>
              <w:t xml:space="preserve">Kiosk</w:t>
            </w:r>
            <w:r>
              <w:t xml:space="preserve">,</w:t>
            </w:r>
            <w:r>
              <w:t xml:space="preserve"> </w:t>
            </w:r>
            <w:r>
              <w:rPr>
                <w:rStyle w:val="VerbatimChar"/>
              </w:rPr>
              <w:t xml:space="preserve">SharedDevice</w:t>
            </w:r>
            <w:r>
              <w:t xml:space="preserve">,</w:t>
            </w:r>
            <w:r>
              <w:t xml:space="preserve"> </w:t>
            </w:r>
            <w:r>
              <w:rPr>
                <w:rStyle w:val="VerbatimChar"/>
              </w:rPr>
              <w:t xml:space="preserve">Dedicated</w:t>
            </w:r>
          </w:p>
        </w:tc>
      </w:tr>
      <w:tr>
        <w:tc>
          <w:tcPr/>
          <w:p>
            <w:pPr>
              <w:pStyle w:val="Compact"/>
            </w:pPr>
            <w:r>
              <w:rPr>
                <w:rStyle w:val="VerbatimChar"/>
              </w:rPr>
              <w:t xml:space="preserve">extensionAttribute13</w:t>
            </w:r>
          </w:p>
        </w:tc>
        <w:tc>
          <w:tcPr/>
          <w:p>
            <w:pPr>
              <w:pStyle w:val="Compact"/>
            </w:pPr>
            <w:r>
              <w:t xml:space="preserve">Environment</w:t>
            </w:r>
          </w:p>
        </w:tc>
        <w:tc>
          <w:tcPr/>
          <w:p>
            <w:pPr>
              <w:pStyle w:val="Compact"/>
            </w:pPr>
            <w:r>
              <w:rPr>
                <w:rStyle w:val="VerbatimChar"/>
              </w:rPr>
              <w:t xml:space="preserve">Production</w:t>
            </w:r>
            <w:r>
              <w:t xml:space="preserve">,</w:t>
            </w:r>
            <w:r>
              <w:t xml:space="preserve"> </w:t>
            </w:r>
            <w:r>
              <w:rPr>
                <w:rStyle w:val="VerbatimChar"/>
              </w:rPr>
              <w:t xml:space="preserve">Staging</w:t>
            </w:r>
            <w:r>
              <w:t xml:space="preserve">,</w:t>
            </w:r>
            <w:r>
              <w:t xml:space="preserve"> </w:t>
            </w:r>
            <w:r>
              <w:rPr>
                <w:rStyle w:val="VerbatimChar"/>
              </w:rPr>
              <w:t xml:space="preserve">Dev</w:t>
            </w:r>
          </w:p>
        </w:tc>
      </w:tr>
    </w:tbl>
    <w:p>
      <w:pPr>
        <w:pStyle w:val="BodyText"/>
      </w:pPr>
      <w:r>
        <w:t xml:space="preserve">The values are written by the program’s provisioning process when a device is registered (see</w:t>
      </w:r>
      <w:r>
        <w:t xml:space="preserve"> </w:t>
      </w:r>
      <w:hyperlink r:id="rId58">
        <w:r>
          <w:rPr>
            <w:rStyle w:val="Hyperlink"/>
          </w:rPr>
          <w:t xml:space="preserve">Chapter 04</w:t>
        </w:r>
      </w:hyperlink>
      <w:r>
        <w:t xml:space="preserve">) and corrected by reconciliation in</w:t>
      </w:r>
      <w:r>
        <w:t xml:space="preserve"> </w:t>
      </w:r>
      <w:hyperlink r:id="rId59">
        <w:r>
          <w:rPr>
            <w:rStyle w:val="Hyperlink"/>
          </w:rPr>
          <w:t xml:space="preserve">Chapter 10</w:t>
        </w:r>
      </w:hyperlink>
      <w:r>
        <w:t xml:space="preserve">. A device with no tier value falls into no tier group, which is why the tenant-wide compliance setting in Chapter 10 marks unassigned devices as noncompliant.</w:t>
      </w:r>
    </w:p>
    <w:bookmarkEnd w:id="60"/>
    <w:bookmarkStart w:id="66" w:name="assignment-strategy"/>
    <w:p>
      <w:pPr>
        <w:pStyle w:val="Heading3"/>
      </w:pPr>
      <w:r>
        <w:t xml:space="preserve">Assignment strategy</w:t>
      </w:r>
    </w:p>
    <w:p>
      <w:pPr>
        <w:pStyle w:val="Compact"/>
        <w:numPr>
          <w:ilvl w:val="0"/>
          <w:numId w:val="1006"/>
        </w:numPr>
      </w:pPr>
      <w:r>
        <w:rPr>
          <w:b/>
          <w:bCs/>
        </w:rPr>
        <w:t xml:space="preserve">Include groups.</w:t>
      </w:r>
      <w:r>
        <w:t xml:space="preserve"> </w:t>
      </w:r>
      <w:r>
        <w:t xml:space="preserve">Dynamic device groups that match the policy’s tier, environment and role.</w:t>
      </w:r>
    </w:p>
    <w:p>
      <w:pPr>
        <w:pStyle w:val="Compact"/>
        <w:numPr>
          <w:ilvl w:val="0"/>
          <w:numId w:val="1006"/>
        </w:numPr>
      </w:pPr>
      <w:r>
        <w:rPr>
          <w:b/>
          <w:bCs/>
        </w:rPr>
        <w:t xml:space="preserve">Exclude groups.</w:t>
      </w:r>
      <w:r>
        <w:t xml:space="preserve"> </w:t>
      </w:r>
      <w:r>
        <w:t xml:space="preserve">Break-glass exclusion groups for emergency override, and staging groups during a phased rollout.</w:t>
      </w:r>
    </w:p>
    <w:p>
      <w:pPr>
        <w:pStyle w:val="Compact"/>
        <w:numPr>
          <w:ilvl w:val="0"/>
          <w:numId w:val="1006"/>
        </w:numPr>
      </w:pPr>
      <w:r>
        <w:rPr>
          <w:b/>
          <w:bCs/>
        </w:rPr>
        <w:t xml:space="preserve">Assignment filters.</w:t>
      </w:r>
      <w:r>
        <w:t xml:space="preserve"> </w:t>
      </w:r>
      <w:r>
        <w:t xml:space="preserve">A second layer applied at assignment time. Filters can’t read device extension attributes. They work on Intune device properties such as</w:t>
      </w:r>
      <w:r>
        <w:t xml:space="preserve"> </w:t>
      </w:r>
      <w:r>
        <w:rPr>
          <w:rStyle w:val="VerbatimChar"/>
        </w:rPr>
        <w:t xml:space="preserve">deviceName</w:t>
      </w:r>
      <w:r>
        <w:t xml:space="preserve">,</w:t>
      </w:r>
      <w:r>
        <w:t xml:space="preserve"> </w:t>
      </w:r>
      <w:r>
        <w:rPr>
          <w:rStyle w:val="VerbatimChar"/>
        </w:rPr>
        <w:t xml:space="preserve">deviceOwnership</w:t>
      </w:r>
      <w:r>
        <w:t xml:space="preserve">,</w:t>
      </w:r>
      <w:r>
        <w:t xml:space="preserve"> </w:t>
      </w:r>
      <w:r>
        <w:rPr>
          <w:rStyle w:val="VerbatimChar"/>
        </w:rPr>
        <w:t xml:space="preserve">deviceTrustType</w:t>
      </w:r>
      <w:r>
        <w:t xml:space="preserve">,</w:t>
      </w:r>
      <w:r>
        <w:t xml:space="preserve"> </w:t>
      </w:r>
      <w:r>
        <w:rPr>
          <w:rStyle w:val="VerbatimChar"/>
        </w:rPr>
        <w:t xml:space="preserve">enrollmentProfileName</w:t>
      </w:r>
      <w:r>
        <w:t xml:space="preserve">,</w:t>
      </w:r>
      <w:r>
        <w:t xml:space="preserve"> </w:t>
      </w:r>
      <w:r>
        <w:rPr>
          <w:rStyle w:val="VerbatimChar"/>
        </w:rPr>
        <w:t xml:space="preserve">manufacturer</w:t>
      </w:r>
      <w:r>
        <w:t xml:space="preserve">,</w:t>
      </w:r>
      <w:r>
        <w:t xml:space="preserve"> </w:t>
      </w:r>
      <w:r>
        <w:rPr>
          <w:rStyle w:val="VerbatimChar"/>
        </w:rPr>
        <w:t xml:space="preserve">model</w:t>
      </w:r>
      <w:r>
        <w:t xml:space="preserve">,</w:t>
      </w:r>
      <w:r>
        <w:t xml:space="preserve"> </w:t>
      </w:r>
      <w:r>
        <w:rPr>
          <w:rStyle w:val="VerbatimChar"/>
        </w:rPr>
        <w:t xml:space="preserve">operatingSystemSKU</w:t>
      </w:r>
      <w:r>
        <w:t xml:space="preserve"> </w:t>
      </w:r>
      <w:r>
        <w:t xml:space="preserve">and</w:t>
      </w:r>
      <w:r>
        <w:t xml:space="preserve"> </w:t>
      </w:r>
      <w:r>
        <w:rPr>
          <w:rStyle w:val="VerbatimChar"/>
        </w:rPr>
        <w:t xml:space="preserve">operatingSystemVersion</w:t>
      </w:r>
      <w:r>
        <w:t xml:space="preserve">.</w:t>
      </w:r>
      <w:r>
        <w:rPr>
          <w:rStyle w:val="FootnoteReference"/>
        </w:rPr>
        <w:footnoteReference w:id="61"/>
      </w:r>
      <w:r>
        <w:t xml:space="preserve"> </w:t>
      </w:r>
      <w:r>
        <w:t xml:space="preserve">The source’s filters on</w:t>
      </w:r>
      <w:r>
        <w:t xml:space="preserve"> </w:t>
      </w:r>
      <w:r>
        <w:rPr>
          <w:rStyle w:val="VerbatimChar"/>
        </w:rPr>
        <w:t xml:space="preserve">extensionAttribute11</w:t>
      </w:r>
      <w:r>
        <w:t xml:space="preserve"> </w:t>
      </w:r>
      <w:r>
        <w:t xml:space="preserve">and</w:t>
      </w:r>
      <w:r>
        <w:t xml:space="preserve"> </w:t>
      </w:r>
      <w:r>
        <w:rPr>
          <w:rStyle w:val="VerbatimChar"/>
        </w:rPr>
        <w:t xml:space="preserve">extensionAttribute13</w:t>
      </w:r>
      <w:r>
        <w:t xml:space="preserve"> </w:t>
      </w:r>
      <w:r>
        <w:t xml:space="preserve">would not evaluate; attribute targeting belongs in the group rule, and filters handle hardware, ownership, join type and OS.</w:t>
      </w:r>
    </w:p>
    <w:tbl>
      <w:tblPr>
        <w:tblStyle w:val="Table"/>
        <w:tblW w:type="pct" w:w="5000"/>
        <w:tblLayout w:type="fixed"/>
        <w:tblLook w:firstRow="0" w:lastRow="0" w:firstColumn="0" w:lastColumn="0" w:noHBand="0" w:noVBand="0" w:val="0000"/>
      </w:tblPr>
      <w:tblGrid>
        <w:gridCol w:w="7920"/>
      </w:tblGrid>
      <w:tr>
        <w:tc>
          <w:tcPr/>
          <w:bookmarkStart w:id="65" w:name="fig-ch08-targeting-layers"/>
          <w:p>
            <w:pPr>
              <w:pStyle w:val="Compact"/>
              <w:jc w:val="center"/>
            </w:pPr>
            <w:r>
              <w:drawing>
                <wp:inline>
                  <wp:extent cx="3200400" cy="5895975"/>
                  <wp:effectExtent b="0" l="0" r="0" t="0"/>
                  <wp:docPr descr="" title="" id="63" name="Picture"/>
                  <a:graphic>
                    <a:graphicData uri="http://schemas.openxmlformats.org/drawingml/2006/picture">
                      <pic:pic>
                        <pic:nvPicPr>
                          <pic:cNvPr descr="../../images/diagrams/b05-devices/svg/ch08-targeting-layers.sv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bwMode="auto">
                          <a:xfrm>
                            <a:off x="0" y="0"/>
                            <a:ext cx="3200400" cy="5895975"/>
                          </a:xfrm>
                          <a:prstGeom prst="rect">
                            <a:avLst/>
                          </a:prstGeom>
                          <a:noFill/>
                          <a:ln w="9525">
                            <a:noFill/>
                            <a:headEnd/>
                            <a:tailEnd/>
                          </a:ln>
                        </pic:spPr>
                      </pic:pic>
                    </a:graphicData>
                  </a:graphic>
                </wp:inline>
              </w:drawing>
            </w:r>
          </w:p>
          <w:p>
            <w:pPr>
              <w:jc w:val="center"/>
            </w:pPr>
            <w:pPr>
              <w:jc w:val="left"/>
              <w:spacing w:before="200"/>
              <w:pStyle w:val="ImageCaption"/>
            </w:pPr>
            <w:r>
              <w:t xml:space="preserve">Figure 2: How a policy reaches a device: attributes drive dynamic groups, assignments add exclusions and filters, and the compliance result flows to Conditional Access.</w:t>
            </w:r>
          </w:p>
          <w:bookmarkEnd w:id="65"/>
        </w:tc>
      </w:tr>
    </w:tbl>
    <w:bookmarkEnd w:id="66"/>
    <w:bookmarkStart w:id="67" w:name="scope-tags"/>
    <w:p>
      <w:pPr>
        <w:pStyle w:val="Heading3"/>
      </w:pPr>
      <w:r>
        <w:t xml:space="preserve">Scope tags</w:t>
      </w:r>
    </w:p>
    <w:p>
      <w:pPr>
        <w:pStyle w:val="FirstParagraph"/>
      </w:pPr>
      <w:r>
        <w:t xml:space="preserve">Scope tags partition the admin center for delegated administration. Each policy carries one or more: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Scope tag</w:t>
            </w:r>
          </w:p>
        </w:tc>
        <w:tc>
          <w:tcPr/>
          <w:p>
            <w:pPr>
              <w:pStyle w:val="Compact"/>
            </w:pPr>
            <w:r>
              <w:t xml:space="preserve">Covers</w:t>
            </w:r>
          </w:p>
        </w:tc>
        <w:tc>
          <w:tcPr/>
          <w:p>
            <w:pPr>
              <w:pStyle w:val="Compact"/>
            </w:pPr>
            <w:r>
              <w:t xml:space="preserve">Assigned to</w:t>
            </w:r>
          </w:p>
        </w:tc>
      </w:tr>
      <w:tr>
        <w:tc>
          <w:tcPr/>
          <w:p>
            <w:pPr>
              <w:pStyle w:val="Compact"/>
            </w:pPr>
            <w:r>
              <w:rPr>
                <w:rStyle w:val="VerbatimChar"/>
              </w:rPr>
              <w:t xml:space="preserve">FMP-Global</w:t>
            </w:r>
          </w:p>
        </w:tc>
        <w:tc>
          <w:tcPr/>
          <w:p>
            <w:pPr>
              <w:pStyle w:val="Compact"/>
            </w:pPr>
            <w:r>
              <w:t xml:space="preserve">Baseline policies for every device</w:t>
            </w:r>
          </w:p>
        </w:tc>
        <w:tc>
          <w:tcPr/>
          <w:p>
            <w:pPr>
              <w:pStyle w:val="Compact"/>
            </w:pPr>
            <w:r>
              <w:t xml:space="preserve">CP-001, SC-001, ES-001 to ES-004</w:t>
            </w:r>
          </w:p>
        </w:tc>
      </w:tr>
      <w:tr>
        <w:tc>
          <w:tcPr/>
          <w:p>
            <w:pPr>
              <w:pStyle w:val="Compact"/>
            </w:pPr>
            <w:r>
              <w:rPr>
                <w:rStyle w:val="VerbatimChar"/>
              </w:rPr>
              <w:t xml:space="preserve">FMP-Tier0</w:t>
            </w:r>
          </w:p>
        </w:tc>
        <w:tc>
          <w:tcPr/>
          <w:p>
            <w:pPr>
              <w:pStyle w:val="Compact"/>
            </w:pPr>
            <w:r>
              <w:t xml:space="preserve">Privileged access workstation policies</w:t>
            </w:r>
          </w:p>
        </w:tc>
        <w:tc>
          <w:tcPr/>
          <w:p>
            <w:pPr>
              <w:pStyle w:val="Compact"/>
            </w:pPr>
            <w:r>
              <w:t xml:space="preserve">CP-002, SC-009, ES-005, ES-006</w:t>
            </w:r>
          </w:p>
        </w:tc>
      </w:tr>
      <w:tr>
        <w:tc>
          <w:tcPr/>
          <w:p>
            <w:pPr>
              <w:pStyle w:val="Compact"/>
            </w:pPr>
            <w:r>
              <w:rPr>
                <w:rStyle w:val="VerbatimChar"/>
              </w:rPr>
              <w:t xml:space="preserve">FMP-Region-East</w:t>
            </w:r>
          </w:p>
        </w:tc>
        <w:tc>
          <w:tcPr/>
          <w:p>
            <w:pPr>
              <w:pStyle w:val="Compact"/>
            </w:pPr>
            <w:r>
              <w:t xml:space="preserve">Region-specific variants</w:t>
            </w:r>
          </w:p>
        </w:tc>
        <w:tc>
          <w:tcPr/>
          <w:p>
            <w:pPr>
              <w:pStyle w:val="Compact"/>
            </w:pPr>
            <w:r>
              <w:t xml:space="preserve">Region-scoped configuration profiles</w:t>
            </w:r>
          </w:p>
        </w:tc>
      </w:tr>
      <w:tr>
        <w:tc>
          <w:tcPr/>
          <w:p>
            <w:pPr>
              <w:pStyle w:val="Compact"/>
            </w:pPr>
            <w:r>
              <w:rPr>
                <w:rStyle w:val="VerbatimChar"/>
              </w:rPr>
              <w:t xml:space="preserve">FMP-Kiosk</w:t>
            </w:r>
          </w:p>
        </w:tc>
        <w:tc>
          <w:tcPr/>
          <w:p>
            <w:pPr>
              <w:pStyle w:val="Compact"/>
            </w:pPr>
            <w:r>
              <w:t xml:space="preserve">Kiosk and shared devices</w:t>
            </w:r>
          </w:p>
        </w:tc>
        <w:tc>
          <w:tcPr/>
          <w:p>
            <w:pPr>
              <w:pStyle w:val="Compact"/>
            </w:pPr>
            <w:r>
              <w:t xml:space="preserve">CP-005, SC-010</w:t>
            </w:r>
          </w:p>
        </w:tc>
      </w:tr>
    </w:tbl>
    <w:bookmarkEnd w:id="67"/>
    <w:bookmarkStart w:id="69" w:name="choosing-the-authority-per-workload"/>
    <w:p>
      <w:pPr>
        <w:pStyle w:val="Heading3"/>
      </w:pPr>
      <w:r>
        <w:t xml:space="preserve">Choosing the authority per workload</w:t>
      </w:r>
    </w:p>
    <w:p>
      <w:pPr>
        <w:pStyle w:val="FirstParagraph"/>
      </w:pPr>
      <w:hyperlink r:id="rId68">
        <w:r>
          <w:rPr>
            <w:rStyle w:val="Hyperlink"/>
          </w:rPr>
          <w:t xml:space="preserve">Chapter 07</w:t>
        </w:r>
      </w:hyperlink>
      <w:r>
        <w:t xml:space="preserve"> </w:t>
      </w:r>
      <w:r>
        <w:t xml:space="preserve">covers how the co-management sliders work. Which authority each workload should end with depends on the device and how it is used: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Keep with Configuration Manager for now</w:t>
            </w:r>
          </w:p>
        </w:tc>
        <w:tc>
          <w:tcPr/>
          <w:p>
            <w:pPr>
              <w:pStyle w:val="Compact"/>
            </w:pPr>
            <w:r>
              <w:t xml:space="preserve">Move to Intune</w:t>
            </w:r>
          </w:p>
        </w:tc>
      </w:tr>
      <w:tr>
        <w:tc>
          <w:tcPr/>
          <w:p>
            <w:pPr>
              <w:pStyle w:val="Compact"/>
            </w:pPr>
            <w:r>
              <w:t xml:space="preserve">Device type</w:t>
            </w:r>
          </w:p>
        </w:tc>
        <w:tc>
          <w:tcPr/>
          <w:p>
            <w:pPr>
              <w:pStyle w:val="Compact"/>
            </w:pPr>
            <w:r>
              <w:t xml:space="preserve">Servers, legacy Windows, on-premises kiosks</w:t>
            </w:r>
          </w:p>
        </w:tc>
        <w:tc>
          <w:tcPr/>
          <w:p>
            <w:pPr>
              <w:pStyle w:val="Compact"/>
            </w:pPr>
            <w:r>
              <w:t xml:space="preserve">Windows 11 workstations, remote devices</w:t>
            </w:r>
          </w:p>
        </w:tc>
      </w:tr>
      <w:tr>
        <w:tc>
          <w:tcPr/>
          <w:p>
            <w:pPr>
              <w:pStyle w:val="Compact"/>
            </w:pPr>
            <w:r>
              <w:t xml:space="preserve">Management model</w:t>
            </w:r>
          </w:p>
        </w:tc>
        <w:tc>
          <w:tcPr/>
          <w:p>
            <w:pPr>
              <w:pStyle w:val="Compact"/>
            </w:pPr>
            <w:r>
              <w:t xml:space="preserve">On-premises, domain joined, managed network</w:t>
            </w:r>
          </w:p>
        </w:tc>
        <w:tc>
          <w:tcPr/>
          <w:p>
            <w:pPr>
              <w:pStyle w:val="Compact"/>
            </w:pPr>
            <w:r>
              <w:t xml:space="preserve">Cloud native, Entra joined, or hybrid joined in transition</w:t>
            </w:r>
          </w:p>
        </w:tc>
      </w:tr>
      <w:tr>
        <w:tc>
          <w:tcPr/>
          <w:p>
            <w:pPr>
              <w:pStyle w:val="Compact"/>
            </w:pPr>
            <w:r>
              <w:t xml:space="preserve">Connectivity</w:t>
            </w:r>
          </w:p>
        </w:tc>
        <w:tc>
          <w:tcPr/>
          <w:p>
            <w:pPr>
              <w:pStyle w:val="Compact"/>
            </w:pPr>
            <w:r>
              <w:t xml:space="preserve">Always on the corporate network or VPN</w:t>
            </w:r>
          </w:p>
        </w:tc>
        <w:tc>
          <w:tcPr/>
          <w:p>
            <w:pPr>
              <w:pStyle w:val="Compact"/>
            </w:pPr>
            <w:r>
              <w:t xml:space="preserve">Internet connected on any network</w:t>
            </w:r>
          </w:p>
        </w:tc>
      </w:tr>
      <w:tr>
        <w:tc>
          <w:tcPr/>
          <w:p>
            <w:pPr>
              <w:pStyle w:val="Compact"/>
            </w:pPr>
            <w:r>
              <w:t xml:space="preserve">User type</w:t>
            </w:r>
          </w:p>
        </w:tc>
        <w:tc>
          <w:tcPr/>
          <w:p>
            <w:pPr>
              <w:pStyle w:val="Compact"/>
            </w:pPr>
            <w:r>
              <w:t xml:space="preserve">On-site, manufacturing, lab</w:t>
            </w:r>
          </w:p>
        </w:tc>
        <w:tc>
          <w:tcPr/>
          <w:p>
            <w:pPr>
              <w:pStyle w:val="Compact"/>
            </w:pPr>
            <w:r>
              <w:t xml:space="preserve">Remote, hybrid and mobile workers</w:t>
            </w:r>
          </w:p>
        </w:tc>
      </w:tr>
      <w:tr>
        <w:tc>
          <w:tcPr/>
          <w:p>
            <w:pPr>
              <w:pStyle w:val="Compact"/>
            </w:pPr>
            <w:r>
              <w:t xml:space="preserve">Application complexity</w:t>
            </w:r>
          </w:p>
        </w:tc>
        <w:tc>
          <w:tcPr/>
          <w:p>
            <w:pPr>
              <w:pStyle w:val="Compact"/>
            </w:pPr>
            <w:r>
              <w:t xml:space="preserve">Complex task sequences and multi-step installs</w:t>
            </w:r>
          </w:p>
        </w:tc>
        <w:tc>
          <w:tcPr/>
          <w:p>
            <w:pPr>
              <w:pStyle w:val="Compact"/>
            </w:pPr>
            <w:r>
              <w:t xml:space="preserve">Standard apps, Win32-wrapped apps, Microsoft Store and Winget</w:t>
            </w:r>
          </w:p>
        </w:tc>
      </w:tr>
    </w:tbl>
    <w:p>
      <w:pPr>
        <w:pStyle w:val="BodyText"/>
      </w:pPr>
      <w:r>
        <w:t xml:space="preserve">The program’s recommended end state per workload, and the reference timing over a 12-month program:</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Workload</w:t>
            </w:r>
          </w:p>
        </w:tc>
        <w:tc>
          <w:tcPr/>
          <w:p>
            <w:pPr>
              <w:pStyle w:val="Compact"/>
            </w:pPr>
            <w:r>
              <w:t xml:space="preserve">Recommended authority</w:t>
            </w:r>
          </w:p>
        </w:tc>
        <w:tc>
          <w:tcPr/>
          <w:p>
            <w:pPr>
              <w:pStyle w:val="Compact"/>
            </w:pPr>
            <w:r>
              <w:t xml:space="preserve">Months 1–3</w:t>
            </w:r>
          </w:p>
        </w:tc>
        <w:tc>
          <w:tcPr/>
          <w:p>
            <w:pPr>
              <w:pStyle w:val="Compact"/>
            </w:pPr>
            <w:r>
              <w:t xml:space="preserve">Months 4–6</w:t>
            </w:r>
          </w:p>
        </w:tc>
        <w:tc>
          <w:tcPr/>
          <w:p>
            <w:pPr>
              <w:pStyle w:val="Compact"/>
            </w:pPr>
            <w:r>
              <w:t xml:space="preserve">Months 7–9</w:t>
            </w:r>
          </w:p>
        </w:tc>
        <w:tc>
          <w:tcPr/>
          <w:p>
            <w:pPr>
              <w:pStyle w:val="Compact"/>
            </w:pPr>
            <w:r>
              <w:t xml:space="preserve">Months 10–12</w:t>
            </w:r>
          </w:p>
        </w:tc>
      </w:tr>
      <w:tr>
        <w:tc>
          <w:tcPr/>
          <w:p>
            <w:pPr>
              <w:pStyle w:val="Compact"/>
            </w:pPr>
            <w:r>
              <w:t xml:space="preserve">Office Click-to-Run apps</w:t>
            </w:r>
          </w:p>
        </w:tc>
        <w:tc>
          <w:tcPr/>
          <w:p>
            <w:pPr>
              <w:pStyle w:val="Compact"/>
            </w:pPr>
            <w:r>
              <w:t xml:space="preserve">Intune; usually the first to move</w:t>
            </w:r>
          </w:p>
        </w:tc>
        <w:tc>
          <w:tcPr/>
          <w:p>
            <w:pPr>
              <w:pStyle w:val="Compact"/>
            </w:pPr>
            <w:r>
              <w:t xml:space="preserve">Move</w:t>
            </w:r>
          </w:p>
        </w:tc>
        <w:tc>
          <w:tcPr/>
          <w:p>
            <w:pPr>
              <w:pStyle w:val="Compact"/>
            </w:pPr>
            <w:r>
              <w:t xml:space="preserve">Complete</w:t>
            </w:r>
          </w:p>
        </w:tc>
        <w:tc>
          <w:tcPr/>
          <w:p>
            <w:pPr>
              <w:pStyle w:val="Compact"/>
            </w:pPr>
            <w:r>
              <w:t xml:space="preserve">—</w:t>
            </w:r>
          </w:p>
        </w:tc>
        <w:tc>
          <w:tcPr/>
          <w:p>
            <w:pPr>
              <w:pStyle w:val="Compact"/>
            </w:pPr>
            <w:r>
              <w:t xml:space="preserve">—</w:t>
            </w:r>
          </w:p>
        </w:tc>
      </w:tr>
      <w:tr>
        <w:tc>
          <w:tcPr/>
          <w:p>
            <w:pPr>
              <w:pStyle w:val="Compact"/>
            </w:pPr>
            <w:r>
              <w:t xml:space="preserve">Compliance policies</w:t>
            </w:r>
          </w:p>
        </w:tc>
        <w:tc>
          <w:tcPr/>
          <w:p>
            <w:pPr>
              <w:pStyle w:val="Compact"/>
            </w:pPr>
            <w:r>
              <w:t xml:space="preserve">Intune; native Conditional Access integration</w:t>
            </w:r>
          </w:p>
        </w:tc>
        <w:tc>
          <w:tcPr/>
          <w:p>
            <w:pPr>
              <w:pStyle w:val="Compact"/>
            </w:pPr>
            <w:r>
              <w:t xml:space="preserve">Build and pilot</w:t>
            </w:r>
          </w:p>
        </w:tc>
        <w:tc>
          <w:tcPr/>
          <w:p>
            <w:pPr>
              <w:pStyle w:val="Compact"/>
            </w:pPr>
            <w:r>
              <w:t xml:space="preserve">Move</w:t>
            </w:r>
          </w:p>
        </w:tc>
        <w:tc>
          <w:tcPr/>
          <w:p>
            <w:pPr>
              <w:pStyle w:val="Compact"/>
            </w:pPr>
            <w:r>
              <w:t xml:space="preserve">Complete</w:t>
            </w:r>
          </w:p>
        </w:tc>
        <w:tc>
          <w:tcPr/>
          <w:p>
            <w:pPr>
              <w:pStyle w:val="Compact"/>
            </w:pPr>
            <w:r>
              <w:t xml:space="preserve">—</w:t>
            </w:r>
          </w:p>
        </w:tc>
      </w:tr>
      <w:tr>
        <w:tc>
          <w:tcPr/>
          <w:p>
            <w:pPr>
              <w:pStyle w:val="Compact"/>
            </w:pPr>
            <w:r>
              <w:t xml:space="preserve">Endpoint Protection</w:t>
            </w:r>
          </w:p>
        </w:tc>
        <w:tc>
          <w:tcPr/>
          <w:p>
            <w:pPr>
              <w:pStyle w:val="Compact"/>
            </w:pPr>
            <w:r>
              <w:t xml:space="preserve">Intune; one security surface</w:t>
            </w:r>
          </w:p>
        </w:tc>
        <w:tc>
          <w:tcPr/>
          <w:p>
            <w:pPr>
              <w:pStyle w:val="Compact"/>
            </w:pPr>
            <w:r>
              <w:t xml:space="preserve">Build</w:t>
            </w:r>
          </w:p>
        </w:tc>
        <w:tc>
          <w:tcPr/>
          <w:p>
            <w:pPr>
              <w:pStyle w:val="Compact"/>
            </w:pPr>
            <w:r>
              <w:t xml:space="preserve">Pilot</w:t>
            </w:r>
          </w:p>
        </w:tc>
        <w:tc>
          <w:tcPr/>
          <w:p>
            <w:pPr>
              <w:pStyle w:val="Compact"/>
            </w:pPr>
            <w:r>
              <w:t xml:space="preserve">Move</w:t>
            </w:r>
          </w:p>
        </w:tc>
        <w:tc>
          <w:tcPr/>
          <w:p>
            <w:pPr>
              <w:pStyle w:val="Compact"/>
            </w:pPr>
            <w:r>
              <w:t xml:space="preserve">Complete</w:t>
            </w:r>
          </w:p>
        </w:tc>
      </w:tr>
      <w:tr>
        <w:tc>
          <w:tcPr/>
          <w:p>
            <w:pPr>
              <w:pStyle w:val="Compact"/>
            </w:pPr>
            <w:r>
              <w:t xml:space="preserve">Device configuration</w:t>
            </w:r>
          </w:p>
        </w:tc>
        <w:tc>
          <w:tcPr/>
          <w:p>
            <w:pPr>
              <w:pStyle w:val="Compact"/>
            </w:pPr>
            <w:r>
              <w:t xml:space="preserve">Intune; settings catalog and OMA-URI</w:t>
            </w:r>
          </w:p>
        </w:tc>
        <w:tc>
          <w:tcPr/>
          <w:p>
            <w:pPr>
              <w:pStyle w:val="Compact"/>
            </w:pPr>
            <w:r>
              <w:t xml:space="preserve">Build</w:t>
            </w:r>
          </w:p>
        </w:tc>
        <w:tc>
          <w:tcPr/>
          <w:p>
            <w:pPr>
              <w:pStyle w:val="Compact"/>
            </w:pPr>
            <w:r>
              <w:t xml:space="preserve">Pilot</w:t>
            </w:r>
          </w:p>
        </w:tc>
        <w:tc>
          <w:tcPr/>
          <w:p>
            <w:pPr>
              <w:pStyle w:val="Compact"/>
            </w:pPr>
            <w:r>
              <w:t xml:space="preserve">Move</w:t>
            </w:r>
          </w:p>
        </w:tc>
        <w:tc>
          <w:tcPr/>
          <w:p>
            <w:pPr>
              <w:pStyle w:val="Compact"/>
            </w:pPr>
            <w:r>
              <w:t xml:space="preserve">Complete</w:t>
            </w:r>
          </w:p>
        </w:tc>
      </w:tr>
      <w:tr>
        <w:tc>
          <w:tcPr/>
          <w:p>
            <w:pPr>
              <w:pStyle w:val="Compact"/>
            </w:pPr>
            <w:r>
              <w:t xml:space="preserve">Windows Update policies</w:t>
            </w:r>
          </w:p>
        </w:tc>
        <w:tc>
          <w:tcPr/>
          <w:p>
            <w:pPr>
              <w:pStyle w:val="Compact"/>
            </w:pPr>
            <w:r>
              <w:t xml:space="preserve">Intune; no WSUS infrastructure</w:t>
            </w:r>
          </w:p>
        </w:tc>
        <w:tc>
          <w:tcPr/>
          <w:p>
            <w:pPr>
              <w:pStyle w:val="Compact"/>
            </w:pPr>
            <w:r>
              <w:t xml:space="preserve">—</w:t>
            </w:r>
          </w:p>
        </w:tc>
        <w:tc>
          <w:tcPr/>
          <w:p>
            <w:pPr>
              <w:pStyle w:val="Compact"/>
            </w:pPr>
            <w:r>
              <w:t xml:space="preserve">Build and pilot</w:t>
            </w:r>
          </w:p>
        </w:tc>
        <w:tc>
          <w:tcPr/>
          <w:p>
            <w:pPr>
              <w:pStyle w:val="Compact"/>
            </w:pPr>
            <w:r>
              <w:t xml:space="preserve">Move</w:t>
            </w:r>
          </w:p>
        </w:tc>
        <w:tc>
          <w:tcPr/>
          <w:p>
            <w:pPr>
              <w:pStyle w:val="Compact"/>
            </w:pPr>
            <w:r>
              <w:t xml:space="preserve">Retire WSUS</w:t>
            </w:r>
          </w:p>
        </w:tc>
      </w:tr>
      <w:tr>
        <w:tc>
          <w:tcPr/>
          <w:p>
            <w:pPr>
              <w:pStyle w:val="Compact"/>
            </w:pPr>
            <w:r>
              <w:t xml:space="preserve">Resource access (Wi-Fi, VPN, certificates)</w:t>
            </w:r>
          </w:p>
        </w:tc>
        <w:tc>
          <w:tcPr/>
          <w:p>
            <w:pPr>
              <w:pStyle w:val="Compact"/>
            </w:pPr>
            <w:r>
              <w:t xml:space="preserve">Intune; needs the certificate connector</w:t>
            </w:r>
          </w:p>
        </w:tc>
        <w:tc>
          <w:tcPr/>
          <w:p>
            <w:pPr>
              <w:pStyle w:val="Compact"/>
            </w:pPr>
            <w:r>
              <w:t xml:space="preserve">—</w:t>
            </w:r>
          </w:p>
        </w:tc>
        <w:tc>
          <w:tcPr/>
          <w:p>
            <w:pPr>
              <w:pStyle w:val="Compact"/>
            </w:pPr>
            <w:r>
              <w:t xml:space="preserve">Build</w:t>
            </w:r>
          </w:p>
        </w:tc>
        <w:tc>
          <w:tcPr/>
          <w:p>
            <w:pPr>
              <w:pStyle w:val="Compact"/>
            </w:pPr>
            <w:r>
              <w:t xml:space="preserve">Pilot</w:t>
            </w:r>
          </w:p>
        </w:tc>
        <w:tc>
          <w:tcPr/>
          <w:p>
            <w:pPr>
              <w:pStyle w:val="Compact"/>
            </w:pPr>
            <w:r>
              <w:t xml:space="preserve">Move</w:t>
            </w:r>
          </w:p>
        </w:tc>
      </w:tr>
      <w:tr>
        <w:tc>
          <w:tcPr/>
          <w:p>
            <w:pPr>
              <w:pStyle w:val="Compact"/>
            </w:pPr>
            <w:r>
              <w:t xml:space="preserve">Client apps</w:t>
            </w:r>
          </w:p>
        </w:tc>
        <w:tc>
          <w:tcPr/>
          <w:p>
            <w:pPr>
              <w:pStyle w:val="Compact"/>
            </w:pPr>
            <w:r>
              <w:t xml:space="preserve">Phased; complex apps may stay in Configuration Manager at first</w:t>
            </w:r>
          </w:p>
        </w:tc>
        <w:tc>
          <w:tcPr/>
          <w:p>
            <w:pPr>
              <w:pStyle w:val="Compact"/>
            </w:pPr>
            <w:r>
              <w:t xml:space="preserve">—</w:t>
            </w:r>
          </w:p>
        </w:tc>
        <w:tc>
          <w:tcPr/>
          <w:p>
            <w:pPr>
              <w:pStyle w:val="Compact"/>
            </w:pPr>
            <w:r>
              <w:t xml:space="preserve">—</w:t>
            </w:r>
          </w:p>
        </w:tc>
        <w:tc>
          <w:tcPr/>
          <w:p>
            <w:pPr>
              <w:pStyle w:val="Compact"/>
            </w:pPr>
            <w:r>
              <w:t xml:space="preserve">Pilot</w:t>
            </w:r>
          </w:p>
        </w:tc>
        <w:tc>
          <w:tcPr/>
          <w:p>
            <w:pPr>
              <w:pStyle w:val="Compact"/>
            </w:pPr>
            <w:r>
              <w:t xml:space="preserve">Phased move</w:t>
            </w:r>
          </w:p>
        </w:tc>
      </w:tr>
    </w:tbl>
    <w:p>
      <w:pPr>
        <w:pStyle w:val="BodyText"/>
      </w:pPr>
      <w:r>
        <w:t xml:space="preserve">Resource access is no longer a separate decision on current Configuration Manager versions, where its slider is fixed to Intune; Chapter 07 has the detail.</w:t>
      </w:r>
    </w:p>
    <w:bookmarkEnd w:id="69"/>
    <w:bookmarkEnd w:id="70"/>
    <w:bookmarkStart w:id="88" w:name="compliance-policies"/>
    <w:p>
      <w:pPr>
        <w:pStyle w:val="Heading2"/>
      </w:pPr>
      <w:r>
        <w:t xml:space="preserve">Compliance policies</w:t>
      </w:r>
    </w:p>
    <w:p>
      <w:pPr>
        <w:pStyle w:val="FirstParagraph"/>
      </w:pPr>
      <w:r>
        <w:t xml:space="preserve">Compliance policies define the minimum posture a device must meet before Conditional Access grants it access.</w:t>
      </w:r>
      <w:r>
        <w:t xml:space="preserve"> </w:t>
      </w:r>
      <w:hyperlink r:id="rId71">
        <w:r>
          <w:rPr>
            <w:rStyle w:val="Hyperlink"/>
          </w:rPr>
          <w:t xml:space="preserve">Book 04</w:t>
        </w:r>
      </w:hyperlink>
      <w:r>
        <w:t xml:space="preserve"> </w:t>
      </w:r>
      <w:r>
        <w:t xml:space="preserve">owns the Conditional Access policies that consume them. Three Microsoft facts shape every template in this section:</w:t>
      </w:r>
    </w:p>
    <w:p>
      <w:pPr>
        <w:pStyle w:val="Compact"/>
        <w:numPr>
          <w:ilvl w:val="0"/>
          <w:numId w:val="1007"/>
        </w:numPr>
      </w:pPr>
      <w:r>
        <w:rPr>
          <w:b/>
          <w:bCs/>
        </w:rPr>
        <w:t xml:space="preserve">Schedules are in days.</w:t>
      </w:r>
      <w:r>
        <w:t xml:space="preserve"> </w:t>
      </w:r>
      <w:r>
        <w:t xml:space="preserve">Every noncompliance action is scheduled in days from 0 to 365, not hours.</w:t>
      </w:r>
      <w:r>
        <w:rPr>
          <w:rStyle w:val="FootnoteReference"/>
        </w:rPr>
        <w:footnoteReference w:id="72"/>
      </w:r>
      <w:r>
        <w:t xml:space="preserve"> </w:t>
      </w:r>
      <w:r>
        <w:t xml:space="preserve">The source’s</w:t>
      </w:r>
      <w:r>
        <w:t xml:space="preserve"> </w:t>
      </w:r>
      <w:r>
        <w:t xml:space="preserve">“24 hours”</w:t>
      </w:r>
      <w:r>
        <w:t xml:space="preserve"> </w:t>
      </w:r>
      <w:r>
        <w:t xml:space="preserve">and</w:t>
      </w:r>
      <w:r>
        <w:t xml:space="preserve"> </w:t>
      </w:r>
      <w:r>
        <w:t xml:space="preserve">“72 hours”</w:t>
      </w:r>
      <w:r>
        <w:t xml:space="preserve"> </w:t>
      </w:r>
      <w:r>
        <w:t xml:space="preserve">are 1 and 3 days.</w:t>
      </w:r>
    </w:p>
    <w:p>
      <w:pPr>
        <w:pStyle w:val="Compact"/>
        <w:numPr>
          <w:ilvl w:val="0"/>
          <w:numId w:val="1007"/>
        </w:numPr>
      </w:pPr>
      <w:r>
        <w:rPr>
          <w:b/>
          <w:bCs/>
        </w:rPr>
        <w:t xml:space="preserve">Windows supports fewer actions.</w:t>
      </w:r>
      <w:r>
        <w:t xml:space="preserve"> </w:t>
      </w:r>
      <w:r>
        <w:t xml:space="preserve">On Windows, the actions are</w:t>
      </w:r>
      <w:r>
        <w:t xml:space="preserve"> </w:t>
      </w:r>
      <w:r>
        <w:rPr>
          <w:b/>
          <w:bCs/>
        </w:rPr>
        <w:t xml:space="preserve">Mark device noncompliant</w:t>
      </w:r>
      <w:r>
        <w:t xml:space="preserve">,</w:t>
      </w:r>
      <w:r>
        <w:t xml:space="preserve"> </w:t>
      </w:r>
      <w:r>
        <w:rPr>
          <w:b/>
          <w:bCs/>
        </w:rPr>
        <w:t xml:space="preserve">Send email to end user</w:t>
      </w:r>
      <w:r>
        <w:t xml:space="preserve"> </w:t>
      </w:r>
      <w:r>
        <w:t xml:space="preserve">and</w:t>
      </w:r>
      <w:r>
        <w:t xml:space="preserve"> </w:t>
      </w:r>
      <w:r>
        <w:rPr>
          <w:b/>
          <w:bCs/>
        </w:rPr>
        <w:t xml:space="preserve">Add device to retire list</w:t>
      </w:r>
      <w:r>
        <w:t xml:space="preserve">. Remote lock and push notifications aren’t available for Windows. Adding a device to the retire list doesn’t retire it; an administrator has to retire it from that list.</w:t>
      </w:r>
      <w:r>
        <w:rPr>
          <w:rStyle w:val="FootnoteReference"/>
        </w:rPr>
        <w:footnoteReference w:id="73"/>
      </w:r>
      <w:r>
        <w:t xml:space="preserve"> </w:t>
      </w:r>
      <w:r>
        <w:t xml:space="preserve">There is no separate</w:t>
      </w:r>
      <w:r>
        <w:t xml:space="preserve"> </w:t>
      </w:r>
      <w:r>
        <w:t xml:space="preserve">“block access”</w:t>
      </w:r>
      <w:r>
        <w:t xml:space="preserve"> </w:t>
      </w:r>
      <w:r>
        <w:t xml:space="preserve">action: blocking is what Conditional Access does with a noncompliant device.</w:t>
      </w:r>
    </w:p>
    <w:p>
      <w:pPr>
        <w:pStyle w:val="Compact"/>
        <w:numPr>
          <w:ilvl w:val="0"/>
          <w:numId w:val="1007"/>
        </w:numPr>
      </w:pPr>
      <w:r>
        <w:rPr>
          <w:b/>
          <w:bCs/>
        </w:rPr>
        <w:t xml:space="preserve">Health attestation settings are measured at boot.</w:t>
      </w:r>
      <w:r>
        <w:t xml:space="preserve"> </w:t>
      </w:r>
      <w:r>
        <w:t xml:space="preserve">BitLocker, Secure Boot and code integrity are evaluated through Device Health Attestation, so a newly encrypted device needs a restart before it reports compliant.</w:t>
      </w:r>
      <w:r>
        <w:rPr>
          <w:rStyle w:val="FootnoteReference"/>
        </w:rPr>
        <w:footnoteReference w:id="74"/>
      </w:r>
    </w:p>
    <w:bookmarkStart w:id="78" w:name="cp-001-windows-workstation-baseline"/>
    <w:p>
      <w:pPr>
        <w:pStyle w:val="Heading3"/>
      </w:pPr>
      <w:r>
        <w:t xml:space="preserve">CP-001: Windows workstation baseline</w:t>
      </w:r>
    </w:p>
    <w:p>
      <w:pPr>
        <w:pStyle w:val="FirstParagraph"/>
      </w:pPr>
      <w:r>
        <w:rPr>
          <w:b/>
          <w:bCs/>
        </w:rPr>
        <w:t xml:space="preserve">Platform:</w:t>
      </w:r>
      <w:r>
        <w:t xml:space="preserve"> </w:t>
      </w:r>
      <w:r>
        <w:t xml:space="preserve">Windows 11 ·</w:t>
      </w:r>
      <w:r>
        <w:t xml:space="preserve"> </w:t>
      </w:r>
      <w:r>
        <w:rPr>
          <w:b/>
          <w:bCs/>
        </w:rPr>
        <w:t xml:space="preserve">Target:</w:t>
      </w:r>
      <w:r>
        <w:t xml:space="preserve"> </w:t>
      </w:r>
      <w:r>
        <w:t xml:space="preserve">all corporate workstations ·</w:t>
      </w:r>
      <w:r>
        <w:t xml:space="preserve"> </w:t>
      </w:r>
      <w:r>
        <w:rPr>
          <w:b/>
          <w:bCs/>
        </w:rPr>
        <w:t xml:space="preserve">Group:</w:t>
      </w:r>
      <w:r>
        <w:t xml:space="preserve"> </w:t>
      </w:r>
      <w:r>
        <w:t xml:space="preserve">devices where</w:t>
      </w:r>
      <w:r>
        <w:t xml:space="preserve"> </w:t>
      </w:r>
      <w:r>
        <w:rPr>
          <w:rStyle w:val="VerbatimChar"/>
        </w:rPr>
        <w:t xml:space="preserve">extensionAttribute11</w:t>
      </w:r>
      <w:r>
        <w:t xml:space="preserve"> </w:t>
      </w:r>
      <w:r>
        <w:t xml:space="preserve">is</w:t>
      </w:r>
      <w:r>
        <w:t xml:space="preserve"> </w:t>
      </w:r>
      <w:r>
        <w:rPr>
          <w:rStyle w:val="VerbatimChar"/>
        </w:rPr>
        <w:t xml:space="preserve">Tier0</w:t>
      </w:r>
      <w:r>
        <w:t xml:space="preserve">,</w:t>
      </w:r>
      <w:r>
        <w:t xml:space="preserve"> </w:t>
      </w:r>
      <w:r>
        <w:rPr>
          <w:rStyle w:val="VerbatimChar"/>
        </w:rPr>
        <w:t xml:space="preserve">Tier1</w:t>
      </w:r>
      <w:r>
        <w:t xml:space="preserve"> </w:t>
      </w:r>
      <w:r>
        <w:t xml:space="preserve">or</w:t>
      </w:r>
      <w:r>
        <w:t xml:space="preserve"> </w:t>
      </w:r>
      <w:r>
        <w:rPr>
          <w:rStyle w:val="VerbatimChar"/>
        </w:rPr>
        <w:t xml:space="preserve">Tier2</w:t>
      </w:r>
      <w:r>
        <w:t xml:space="preserve">.</w:t>
      </w:r>
      <w:r>
        <w:t xml:space="preserve"> </w:t>
      </w:r>
      <w:r>
        <w:rPr>
          <w:b/>
          <w:bCs/>
        </w:rPr>
        <w:t xml:space="preserve">GPO equivalent:</w:t>
      </w:r>
      <w:r>
        <w:t xml:space="preserve"> </w:t>
      </w:r>
      <w:r>
        <w:t xml:space="preserve">an aggregate of Security Settings, BitLocker, Defender and system health GPOs.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Device health</w:t>
            </w:r>
          </w:p>
        </w:tc>
        <w:tc>
          <w:tcPr/>
          <w:p>
            <w:pPr>
              <w:pStyle w:val="Compact"/>
            </w:pPr>
            <w:r>
              <w:t xml:space="preserve">Require BitLocker</w:t>
            </w:r>
          </w:p>
        </w:tc>
        <w:tc>
          <w:tcPr/>
          <w:p>
            <w:pPr>
              <w:pStyle w:val="Compact"/>
            </w:pPr>
            <w:r>
              <w:t xml:space="preserve">Require</w:t>
            </w:r>
          </w:p>
        </w:tc>
        <w:tc>
          <w:tcPr/>
          <w:p>
            <w:pPr>
              <w:pStyle w:val="Compact"/>
            </w:pPr>
            <w:r>
              <w:t xml:space="preserve">Computer Configuration &gt; Administrative Templates &gt; Windows Components &gt; BitLocker Drive Encryption</w:t>
            </w:r>
          </w:p>
        </w:tc>
      </w:tr>
      <w:tr>
        <w:tc>
          <w:tcPr/>
          <w:p>
            <w:pPr>
              <w:pStyle w:val="Compact"/>
            </w:pPr>
            <w:r>
              <w:t xml:space="preserve">Device health</w:t>
            </w:r>
          </w:p>
        </w:tc>
        <w:tc>
          <w:tcPr/>
          <w:p>
            <w:pPr>
              <w:pStyle w:val="Compact"/>
            </w:pPr>
            <w:r>
              <w:t xml:space="preserve">Require Secure Boot to be enabled</w:t>
            </w:r>
          </w:p>
        </w:tc>
        <w:tc>
          <w:tcPr/>
          <w:p>
            <w:pPr>
              <w:pStyle w:val="Compact"/>
            </w:pPr>
            <w:r>
              <w:t xml:space="preserve">Require</w:t>
            </w:r>
          </w:p>
        </w:tc>
        <w:tc>
          <w:tcPr/>
          <w:p>
            <w:pPr>
              <w:pStyle w:val="Compact"/>
            </w:pPr>
            <w:r>
              <w:t xml:space="preserve">None (UEFI firmware setting)</w:t>
            </w:r>
          </w:p>
        </w:tc>
      </w:tr>
      <w:tr>
        <w:tc>
          <w:tcPr/>
          <w:p>
            <w:pPr>
              <w:pStyle w:val="Compact"/>
            </w:pPr>
            <w:r>
              <w:t xml:space="preserve">Device health</w:t>
            </w:r>
          </w:p>
        </w:tc>
        <w:tc>
          <w:tcPr/>
          <w:p>
            <w:pPr>
              <w:pStyle w:val="Compact"/>
            </w:pPr>
            <w:r>
              <w:t xml:space="preserve">Require code integrity</w:t>
            </w:r>
          </w:p>
        </w:tc>
        <w:tc>
          <w:tcPr/>
          <w:p>
            <w:pPr>
              <w:pStyle w:val="Compact"/>
            </w:pPr>
            <w:r>
              <w:t xml:space="preserve">Require</w:t>
            </w:r>
          </w:p>
        </w:tc>
        <w:tc>
          <w:tcPr/>
          <w:p>
            <w:pPr>
              <w:pStyle w:val="Compact"/>
            </w:pPr>
            <w:r>
              <w:t xml:space="preserve">Computer Configuration &gt; Administrative Templates &gt; System &gt; Device Guard</w:t>
            </w:r>
          </w:p>
        </w:tc>
      </w:tr>
      <w:tr>
        <w:tc>
          <w:tcPr/>
          <w:p>
            <w:pPr>
              <w:pStyle w:val="Compact"/>
            </w:pPr>
            <w:r>
              <w:t xml:space="preserve">Device properties</w:t>
            </w:r>
          </w:p>
        </w:tc>
        <w:tc>
          <w:tcPr/>
          <w:p>
            <w:pPr>
              <w:pStyle w:val="Compact"/>
            </w:pPr>
            <w:r>
              <w:t xml:space="preserve">Minimum OS version</w:t>
            </w:r>
          </w:p>
        </w:tc>
        <w:tc>
          <w:tcPr/>
          <w:p>
            <w:pPr>
              <w:pStyle w:val="Compact"/>
            </w:pPr>
            <w:r>
              <w:t xml:space="preserve">10.0.26100 (Windows 11, version 24H2)</w:t>
            </w:r>
          </w:p>
        </w:tc>
        <w:tc>
          <w:tcPr/>
          <w:p>
            <w:pPr>
              <w:pStyle w:val="Compact"/>
            </w:pPr>
            <w:r>
              <w:t xml:space="preserve">None (WSUS or update policy decided the version)</w:t>
            </w:r>
          </w:p>
        </w:tc>
      </w:tr>
      <w:tr>
        <w:tc>
          <w:tcPr/>
          <w:p>
            <w:pPr>
              <w:pStyle w:val="Compact"/>
            </w:pPr>
            <w:r>
              <w:t xml:space="preserve">System security</w:t>
            </w:r>
          </w:p>
        </w:tc>
        <w:tc>
          <w:tcPr/>
          <w:p>
            <w:pPr>
              <w:pStyle w:val="Compact"/>
            </w:pPr>
            <w:r>
              <w:t xml:space="preserve">Firewall</w:t>
            </w:r>
          </w:p>
        </w:tc>
        <w:tc>
          <w:tcPr/>
          <w:p>
            <w:pPr>
              <w:pStyle w:val="Compact"/>
            </w:pPr>
            <w:r>
              <w:t xml:space="preserve">Require</w:t>
            </w:r>
          </w:p>
        </w:tc>
        <w:tc>
          <w:tcPr/>
          <w:p>
            <w:pPr>
              <w:pStyle w:val="Compact"/>
            </w:pPr>
            <w:r>
              <w:t xml:space="preserve">Computer Configuration &gt; Windows Settings &gt; Security Settings &gt; Windows Defender Firewall</w:t>
            </w:r>
          </w:p>
        </w:tc>
      </w:tr>
      <w:tr>
        <w:tc>
          <w:tcPr/>
          <w:p>
            <w:pPr>
              <w:pStyle w:val="Compact"/>
            </w:pPr>
            <w:r>
              <w:t xml:space="preserve">System security</w:t>
            </w:r>
          </w:p>
        </w:tc>
        <w:tc>
          <w:tcPr/>
          <w:p>
            <w:pPr>
              <w:pStyle w:val="Compact"/>
            </w:pPr>
            <w:r>
              <w:t xml:space="preserve">Trusted Platform Module (TPM)</w:t>
            </w:r>
          </w:p>
        </w:tc>
        <w:tc>
          <w:tcPr/>
          <w:p>
            <w:pPr>
              <w:pStyle w:val="Compact"/>
            </w:pPr>
            <w:r>
              <w:t xml:space="preserve">Require</w:t>
            </w:r>
          </w:p>
        </w:tc>
        <w:tc>
          <w:tcPr/>
          <w:p>
            <w:pPr>
              <w:pStyle w:val="Compact"/>
            </w:pPr>
            <w:r>
              <w:t xml:space="preserve">None (hardware)</w:t>
            </w:r>
          </w:p>
        </w:tc>
      </w:tr>
      <w:tr>
        <w:tc>
          <w:tcPr/>
          <w:p>
            <w:pPr>
              <w:pStyle w:val="Compact"/>
            </w:pPr>
            <w:r>
              <w:t xml:space="preserve">Defender</w:t>
            </w:r>
          </w:p>
        </w:tc>
        <w:tc>
          <w:tcPr/>
          <w:p>
            <w:pPr>
              <w:pStyle w:val="Compact"/>
            </w:pPr>
            <w:r>
              <w:t xml:space="preserve">Antivirus</w:t>
            </w:r>
          </w:p>
        </w:tc>
        <w:tc>
          <w:tcPr/>
          <w:p>
            <w:pPr>
              <w:pStyle w:val="Compact"/>
            </w:pPr>
            <w:r>
              <w:t xml:space="preserve">Require</w:t>
            </w:r>
          </w:p>
        </w:tc>
        <w:tc>
          <w:tcPr/>
          <w:p>
            <w:pPr>
              <w:pStyle w:val="Compact"/>
            </w:pPr>
            <w:r>
              <w:t xml:space="preserve">Computer Configuration &gt; Administrative Templates &gt; Windows Components &gt; Microsoft Defender Antivirus</w:t>
            </w:r>
          </w:p>
        </w:tc>
      </w:tr>
      <w:tr>
        <w:tc>
          <w:tcPr/>
          <w:p>
            <w:pPr>
              <w:pStyle w:val="Compact"/>
            </w:pPr>
            <w:r>
              <w:t xml:space="preserve">Defender</w:t>
            </w:r>
          </w:p>
        </w:tc>
        <w:tc>
          <w:tcPr/>
          <w:p>
            <w:pPr>
              <w:pStyle w:val="Compact"/>
            </w:pPr>
            <w:r>
              <w:t xml:space="preserve">Antispyware</w:t>
            </w:r>
          </w:p>
        </w:tc>
        <w:tc>
          <w:tcPr/>
          <w:p>
            <w:pPr>
              <w:pStyle w:val="Compact"/>
            </w:pPr>
            <w:r>
              <w:t xml:space="preserve">Require</w:t>
            </w:r>
          </w:p>
        </w:tc>
        <w:tc>
          <w:tcPr/>
          <w:p>
            <w:pPr>
              <w:pStyle w:val="Compact"/>
            </w:pPr>
            <w:r>
              <w:t xml:space="preserve">Same as antivirus</w:t>
            </w:r>
          </w:p>
        </w:tc>
      </w:tr>
      <w:tr>
        <w:tc>
          <w:tcPr/>
          <w:p>
            <w:pPr>
              <w:pStyle w:val="Compact"/>
            </w:pPr>
            <w:r>
              <w:t xml:space="preserve">Defender</w:t>
            </w:r>
          </w:p>
        </w:tc>
        <w:tc>
          <w:tcPr/>
          <w:p>
            <w:pPr>
              <w:pStyle w:val="Compact"/>
            </w:pPr>
            <w:r>
              <w:t xml:space="preserve">Real-time protection</w:t>
            </w:r>
          </w:p>
        </w:tc>
        <w:tc>
          <w:tcPr/>
          <w:p>
            <w:pPr>
              <w:pStyle w:val="Compact"/>
            </w:pPr>
            <w:r>
              <w:t xml:space="preserve">Require</w:t>
            </w:r>
          </w:p>
        </w:tc>
        <w:tc>
          <w:tcPr/>
          <w:p>
            <w:pPr>
              <w:pStyle w:val="Compact"/>
            </w:pPr>
            <w:r>
              <w:t xml:space="preserve">Microsoft Defender Antivirus &gt; Real-time Protection</w:t>
            </w:r>
          </w:p>
        </w:tc>
      </w:tr>
      <w:tr>
        <w:tc>
          <w:tcPr/>
          <w:p>
            <w:pPr>
              <w:pStyle w:val="Compact"/>
            </w:pPr>
            <w:r>
              <w:t xml:space="preserve">Defender</w:t>
            </w:r>
          </w:p>
        </w:tc>
        <w:tc>
          <w:tcPr/>
          <w:p>
            <w:pPr>
              <w:pStyle w:val="Compact"/>
            </w:pPr>
            <w:r>
              <w:t xml:space="preserve">Microsoft Defender Antimalware security intelligence up to date</w:t>
            </w:r>
          </w:p>
        </w:tc>
        <w:tc>
          <w:tcPr/>
          <w:p>
            <w:pPr>
              <w:pStyle w:val="Compact"/>
            </w:pPr>
            <w:r>
              <w:t xml:space="preserve">Require</w:t>
            </w:r>
          </w:p>
        </w:tc>
        <w:tc>
          <w:tcPr/>
          <w:p>
            <w:pPr>
              <w:pStyle w:val="Compact"/>
            </w:pPr>
            <w:r>
              <w:t xml:space="preserve">Signature updates through WSUS or Configuration Manager</w:t>
            </w:r>
          </w:p>
        </w:tc>
      </w:tr>
      <w:tr>
        <w:tc>
          <w:tcPr/>
          <w:p>
            <w:pPr>
              <w:pStyle w:val="Compact"/>
            </w:pPr>
            <w:r>
              <w:t xml:space="preserve">Password</w:t>
            </w:r>
          </w:p>
        </w:tc>
        <w:tc>
          <w:tcPr/>
          <w:p>
            <w:pPr>
              <w:pStyle w:val="Compact"/>
            </w:pPr>
            <w:r>
              <w:t xml:space="preserve">Require a password to unlock</w:t>
            </w:r>
          </w:p>
        </w:tc>
        <w:tc>
          <w:tcPr/>
          <w:p>
            <w:pPr>
              <w:pStyle w:val="Compact"/>
            </w:pPr>
            <w:r>
              <w:t xml:space="preserve">Require</w:t>
            </w:r>
          </w:p>
        </w:tc>
        <w:tc>
          <w:tcPr/>
          <w:p>
            <w:pPr>
              <w:pStyle w:val="Compact"/>
            </w:pPr>
            <w:r>
              <w:t xml:space="preserve">Computer Configuration &gt; Windows Settings &gt; Security Settings &gt; Account Policies &gt; Password Policy</w:t>
            </w:r>
          </w:p>
        </w:tc>
      </w:tr>
      <w:tr>
        <w:tc>
          <w:tcPr/>
          <w:p>
            <w:pPr>
              <w:pStyle w:val="Compact"/>
            </w:pPr>
            <w:r>
              <w:t xml:space="preserve">Password</w:t>
            </w:r>
          </w:p>
        </w:tc>
        <w:tc>
          <w:tcPr/>
          <w:p>
            <w:pPr>
              <w:pStyle w:val="Compact"/>
            </w:pPr>
            <w:r>
              <w:t xml:space="preserve">Minimum password length</w:t>
            </w:r>
          </w:p>
        </w:tc>
        <w:tc>
          <w:tcPr/>
          <w:p>
            <w:pPr>
              <w:pStyle w:val="Compact"/>
            </w:pPr>
            <w:r>
              <w:t xml:space="preserve">14</w:t>
            </w:r>
          </w:p>
        </w:tc>
        <w:tc>
          <w:tcPr/>
          <w:p>
            <w:pPr>
              <w:pStyle w:val="Compact"/>
            </w:pPr>
            <w:r>
              <w:t xml:space="preserve">Account Policies &gt; Password Policy</w:t>
            </w:r>
          </w:p>
        </w:tc>
      </w:tr>
      <w:tr>
        <w:tc>
          <w:tcPr/>
          <w:p>
            <w:pPr>
              <w:pStyle w:val="Compact"/>
            </w:pPr>
            <w:r>
              <w:t xml:space="preserve">Password</w:t>
            </w:r>
          </w:p>
        </w:tc>
        <w:tc>
          <w:tcPr/>
          <w:p>
            <w:pPr>
              <w:pStyle w:val="Compact"/>
            </w:pPr>
            <w:r>
              <w:t xml:space="preserve">Password type</w:t>
            </w:r>
          </w:p>
        </w:tc>
        <w:tc>
          <w:tcPr/>
          <w:p>
            <w:pPr>
              <w:pStyle w:val="Compact"/>
            </w:pPr>
            <w:r>
              <w:t xml:space="preserve">Alphanumeric</w:t>
            </w:r>
          </w:p>
        </w:tc>
        <w:tc>
          <w:tcPr/>
          <w:p>
            <w:pPr>
              <w:pStyle w:val="Compact"/>
            </w:pPr>
            <w:r>
              <w:t xml:space="preserve">Account Policies &gt; Password Policy (complexity)</w:t>
            </w:r>
          </w:p>
        </w:tc>
      </w:tr>
    </w:tbl>
    <w:p>
      <w:pPr>
        <w:pStyle w:val="BodyText"/>
      </w:pPr>
      <w:r>
        <w:t xml:space="preserve">The minimum OS version is a correction. The source set Windows 10 22H2 and Windows 11 23H2. As of October 2026, Windows 11, version 23H2 Enterprise and Education receive updates only until November 10, 2026, and version 24H2 (build 26100) Enterprise and Education until October 12, 2027; version 25H2 is build 26200.</w:t>
      </w:r>
      <w:r>
        <w:rPr>
          <w:rStyle w:val="FootnoteReference"/>
        </w:rPr>
        <w:footnoteReference w:id="76"/>
      </w:r>
      <w:r>
        <w:t xml:space="preserve"> </w:t>
      </w:r>
      <w:r>
        <w:t xml:space="preserve">The program sets 24H2 as the floor and raises it each year as versions leave servicing.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Action</w:t>
            </w:r>
          </w:p>
        </w:tc>
        <w:tc>
          <w:tcPr/>
          <w:p>
            <w:pPr>
              <w:pStyle w:val="Compact"/>
            </w:pPr>
            <w:r>
              <w:t xml:space="preserve">Schedule</w:t>
            </w:r>
          </w:p>
        </w:tc>
        <w:tc>
          <w:tcPr/>
          <w:p>
            <w:pPr>
              <w:pStyle w:val="Compact"/>
            </w:pPr>
            <w:r>
              <w:t xml:space="preserve">Notes</w:t>
            </w:r>
          </w:p>
        </w:tc>
      </w:tr>
      <w:tr>
        <w:tc>
          <w:tcPr/>
          <w:p>
            <w:pPr>
              <w:pStyle w:val="Compact"/>
            </w:pPr>
            <w:r>
              <w:t xml:space="preserve">Mark device noncompliant</w:t>
            </w:r>
          </w:p>
        </w:tc>
        <w:tc>
          <w:tcPr/>
          <w:p>
            <w:pPr>
              <w:pStyle w:val="Compact"/>
            </w:pPr>
            <w:r>
              <w:t xml:space="preserve">1 day</w:t>
            </w:r>
          </w:p>
        </w:tc>
        <w:tc>
          <w:tcPr/>
          <w:p>
            <w:pPr>
              <w:pStyle w:val="Compact"/>
            </w:pPr>
            <w:r>
              <w:t xml:space="preserve">The grace period before Conditional Access blocks access</w:t>
            </w:r>
          </w:p>
        </w:tc>
      </w:tr>
      <w:tr>
        <w:tc>
          <w:tcPr/>
          <w:p>
            <w:pPr>
              <w:pStyle w:val="Compact"/>
            </w:pPr>
            <w:r>
              <w:t xml:space="preserve">Send email to end user</w:t>
            </w:r>
          </w:p>
        </w:tc>
        <w:tc>
          <w:tcPr/>
          <w:p>
            <w:pPr>
              <w:pStyle w:val="Compact"/>
            </w:pPr>
            <w:r>
              <w:t xml:space="preserve">1 day</w:t>
            </w:r>
          </w:p>
        </w:tc>
        <w:tc>
          <w:tcPr/>
          <w:p>
            <w:pPr>
              <w:pStyle w:val="Compact"/>
            </w:pPr>
            <w:r>
              <w:t xml:space="preserve">Remediation steps and help desk contact, from a message template</w:t>
            </w:r>
          </w:p>
        </w:tc>
      </w:tr>
      <w:tr>
        <w:tc>
          <w:tcPr/>
          <w:p>
            <w:pPr>
              <w:pStyle w:val="Compact"/>
            </w:pPr>
            <w:r>
              <w:t xml:space="preserve">Add device to retire list</w:t>
            </w:r>
          </w:p>
        </w:tc>
        <w:tc>
          <w:tcPr/>
          <w:p>
            <w:pPr>
              <w:pStyle w:val="Compact"/>
            </w:pPr>
            <w:r>
              <w:t xml:space="preserve">30 days</w:t>
            </w:r>
          </w:p>
        </w:tc>
        <w:tc>
          <w:tcPr/>
          <w:p>
            <w:pPr>
              <w:pStyle w:val="Compact"/>
            </w:pPr>
            <w:r>
              <w:t xml:space="preserve">An administrator reviews the list and retires devices from it</w:t>
            </w:r>
          </w:p>
        </w:tc>
      </w:tr>
    </w:tbl>
    <w:bookmarkEnd w:id="78"/>
    <w:bookmarkStart w:id="80" w:name="Xe9b40df9d2bf488de739a17d6ec8e408c1621b5"/>
    <w:p>
      <w:pPr>
        <w:pStyle w:val="Heading3"/>
      </w:pPr>
      <w:r>
        <w:t xml:space="preserve">CP-002: Tier 0 privileged access workstation (strict)</w:t>
      </w:r>
    </w:p>
    <w:p>
      <w:pPr>
        <w:pStyle w:val="FirstParagraph"/>
      </w:pPr>
      <w:r>
        <w:rPr>
          <w:b/>
          <w:bCs/>
        </w:rPr>
        <w:t xml:space="preserve">Platform:</w:t>
      </w:r>
      <w:r>
        <w:t xml:space="preserve"> </w:t>
      </w:r>
      <w:r>
        <w:t xml:space="preserve">Windows 11 ·</w:t>
      </w:r>
      <w:r>
        <w:t xml:space="preserve"> </w:t>
      </w:r>
      <w:r>
        <w:rPr>
          <w:b/>
          <w:bCs/>
        </w:rPr>
        <w:t xml:space="preserve">Target:</w:t>
      </w:r>
      <w:r>
        <w:t xml:space="preserve"> </w:t>
      </w:r>
      <w:r>
        <w:t xml:space="preserve">privileged access workstations ·</w:t>
      </w:r>
      <w:r>
        <w:t xml:space="preserve"> </w:t>
      </w:r>
      <w:r>
        <w:rPr>
          <w:b/>
          <w:bCs/>
        </w:rPr>
        <w:t xml:space="preserve">Group:</w:t>
      </w:r>
      <w:r>
        <w:t xml:space="preserve"> </w:t>
      </w:r>
      <w:r>
        <w:rPr>
          <w:rStyle w:val="VerbatimChar"/>
        </w:rPr>
        <w:t xml:space="preserve">extensionAttribute11</w:t>
      </w:r>
      <w:r>
        <w:t xml:space="preserve"> </w:t>
      </w:r>
      <w:r>
        <w:t xml:space="preserve">equals</w:t>
      </w:r>
      <w:r>
        <w:t xml:space="preserve"> </w:t>
      </w:r>
      <w:r>
        <w:rPr>
          <w:rStyle w:val="VerbatimChar"/>
        </w:rPr>
        <w:t xml:space="preserve">Tier0</w:t>
      </w:r>
      <w:r>
        <w:t xml:space="preserve">.</w:t>
      </w:r>
      <w:r>
        <w:t xml:space="preserve"> </w:t>
      </w:r>
      <w:r>
        <w:t xml:space="preserve">All CP-001 requirements apply, with no grace period and these additions: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Device properties</w:t>
            </w:r>
          </w:p>
        </w:tc>
        <w:tc>
          <w:tcPr/>
          <w:p>
            <w:pPr>
              <w:pStyle w:val="Compact"/>
            </w:pPr>
            <w:r>
              <w:t xml:space="preserve">Minimum OS version</w:t>
            </w:r>
          </w:p>
        </w:tc>
        <w:tc>
          <w:tcPr/>
          <w:p>
            <w:pPr>
              <w:pStyle w:val="Compact"/>
            </w:pPr>
            <w:r>
              <w:t xml:space="preserve">10.0.26200 (Windows 11, version 25H2)</w:t>
            </w:r>
          </w:p>
        </w:tc>
        <w:tc>
          <w:tcPr/>
          <w:p>
            <w:pPr>
              <w:pStyle w:val="Compact"/>
            </w:pPr>
            <w:r>
              <w:t xml:space="preserve">None</w:t>
            </w:r>
          </w:p>
        </w:tc>
      </w:tr>
      <w:tr>
        <w:tc>
          <w:tcPr/>
          <w:p>
            <w:pPr>
              <w:pStyle w:val="Compact"/>
            </w:pPr>
            <w:r>
              <w:t xml:space="preserve">Defender for Endpoint</w:t>
            </w:r>
          </w:p>
        </w:tc>
        <w:tc>
          <w:tcPr/>
          <w:p>
            <w:pPr>
              <w:pStyle w:val="Compact"/>
            </w:pPr>
            <w:r>
              <w:t xml:space="preserve">Require the device to be at or under the machine risk score</w:t>
            </w:r>
          </w:p>
        </w:tc>
        <w:tc>
          <w:tcPr/>
          <w:p>
            <w:pPr>
              <w:pStyle w:val="Compact"/>
            </w:pPr>
            <w:r>
              <w:t xml:space="preserve">Clear</w:t>
            </w:r>
          </w:p>
        </w:tc>
        <w:tc>
          <w:tcPr/>
          <w:p>
            <w:pPr>
              <w:pStyle w:val="Compact"/>
            </w:pPr>
            <w:r>
              <w:t xml:space="preserve">None</w:t>
            </w:r>
          </w:p>
        </w:tc>
      </w:tr>
      <w:tr>
        <w:tc>
          <w:tcPr/>
          <w:p>
            <w:pPr>
              <w:pStyle w:val="Compact"/>
            </w:pPr>
            <w:r>
              <w:t xml:space="preserve">Device health</w:t>
            </w:r>
          </w:p>
        </w:tc>
        <w:tc>
          <w:tcPr/>
          <w:p>
            <w:pPr>
              <w:pStyle w:val="Compact"/>
            </w:pPr>
            <w:r>
              <w:t xml:space="preserve">Require BitLocker, Secure Boot and code integrity</w:t>
            </w:r>
          </w:p>
        </w:tc>
        <w:tc>
          <w:tcPr/>
          <w:p>
            <w:pPr>
              <w:pStyle w:val="Compact"/>
            </w:pPr>
            <w:r>
              <w:t xml:space="preserve">Require (as CP-001)</w:t>
            </w:r>
          </w:p>
        </w:tc>
        <w:tc>
          <w:tcPr/>
          <w:p>
            <w:pPr>
              <w:pStyle w:val="Compact"/>
            </w:pPr>
            <w:r>
              <w:t xml:space="preserve">As CP-001</w:t>
            </w:r>
          </w:p>
        </w:tc>
      </w:tr>
    </w:tbl>
    <w:p>
      <w:pPr>
        <w:pStyle w:val="BodyText"/>
      </w:pPr>
      <w:r>
        <w:t xml:space="preserve">The source listed Credential Guard, network inspection and cloud-delivered protection as compliance settings. Windows compliance policy doesn’t evaluate those; they are configuration, set in ES-006 and ES-001, and checked by the drift comparison in Chapter 10. The machine risk score replaces them as the compliance signal from Defender, which Microsoft lists among the Windows compliance settings.</w:t>
      </w:r>
      <w:r>
        <w:rPr>
          <w:rStyle w:val="FootnoteReference"/>
        </w:rPr>
        <w:footnoteReference w:id="79"/>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Action</w:t>
            </w:r>
          </w:p>
        </w:tc>
        <w:tc>
          <w:tcPr/>
          <w:p>
            <w:pPr>
              <w:pStyle w:val="Compact"/>
            </w:pPr>
            <w:r>
              <w:t xml:space="preserve">Schedule</w:t>
            </w:r>
          </w:p>
        </w:tc>
      </w:tr>
      <w:tr>
        <w:tc>
          <w:tcPr/>
          <w:p>
            <w:pPr>
              <w:pStyle w:val="Compact"/>
            </w:pPr>
            <w:r>
              <w:t xml:space="preserve">Mark device noncompliant</w:t>
            </w:r>
          </w:p>
        </w:tc>
        <w:tc>
          <w:tcPr/>
          <w:p>
            <w:pPr>
              <w:pStyle w:val="Compact"/>
            </w:pPr>
            <w:r>
              <w:t xml:space="preserve">0 days (immediate)</w:t>
            </w:r>
          </w:p>
        </w:tc>
      </w:tr>
      <w:tr>
        <w:tc>
          <w:tcPr/>
          <w:p>
            <w:pPr>
              <w:pStyle w:val="Compact"/>
            </w:pPr>
            <w:r>
              <w:t xml:space="preserve">Send email to the user, with the security team as additional recipients</w:t>
            </w:r>
          </w:p>
        </w:tc>
        <w:tc>
          <w:tcPr/>
          <w:p>
            <w:pPr>
              <w:pStyle w:val="Compact"/>
            </w:pPr>
            <w:r>
              <w:t xml:space="preserve">0 days</w:t>
            </w:r>
          </w:p>
        </w:tc>
      </w:tr>
      <w:tr>
        <w:tc>
          <w:tcPr/>
          <w:p>
            <w:pPr>
              <w:pStyle w:val="Compact"/>
            </w:pPr>
            <w:r>
              <w:t xml:space="preserve">Add device to retire list</w:t>
            </w:r>
          </w:p>
        </w:tc>
        <w:tc>
          <w:tcPr/>
          <w:p>
            <w:pPr>
              <w:pStyle w:val="Compact"/>
            </w:pPr>
            <w:r>
              <w:t xml:space="preserve">7 days</w:t>
            </w:r>
          </w:p>
        </w:tc>
      </w:tr>
    </w:tbl>
    <w:bookmarkEnd w:id="80"/>
    <w:bookmarkStart w:id="81" w:name="cp-003-tier-2-standard-workstation"/>
    <w:p>
      <w:pPr>
        <w:pStyle w:val="Heading3"/>
      </w:pPr>
      <w:r>
        <w:t xml:space="preserve">CP-003: Tier 2 standard workstation</w:t>
      </w:r>
    </w:p>
    <w:p>
      <w:pPr>
        <w:pStyle w:val="FirstParagraph"/>
      </w:pPr>
      <w:r>
        <w:rPr>
          <w:b/>
          <w:bCs/>
        </w:rPr>
        <w:t xml:space="preserve">Platform:</w:t>
      </w:r>
      <w:r>
        <w:t xml:space="preserve"> </w:t>
      </w:r>
      <w:r>
        <w:t xml:space="preserve">Windows 11 ·</w:t>
      </w:r>
      <w:r>
        <w:t xml:space="preserve"> </w:t>
      </w:r>
      <w:r>
        <w:rPr>
          <w:b/>
          <w:bCs/>
        </w:rPr>
        <w:t xml:space="preserve">Target:</w:t>
      </w:r>
      <w:r>
        <w:t xml:space="preserve"> </w:t>
      </w:r>
      <w:r>
        <w:t xml:space="preserve">standard end-user workstations ·</w:t>
      </w:r>
      <w:r>
        <w:t xml:space="preserve"> </w:t>
      </w:r>
      <w:r>
        <w:rPr>
          <w:b/>
          <w:bCs/>
        </w:rPr>
        <w:t xml:space="preserve">Group:</w:t>
      </w:r>
      <w:r>
        <w:t xml:space="preserve"> </w:t>
      </w:r>
      <w:r>
        <w:rPr>
          <w:rStyle w:val="VerbatimChar"/>
        </w:rPr>
        <w:t xml:space="preserve">extensionAttribute11</w:t>
      </w:r>
      <w:r>
        <w:t xml:space="preserve"> </w:t>
      </w:r>
      <w:r>
        <w:t xml:space="preserve">equals</w:t>
      </w:r>
      <w:r>
        <w:t xml:space="preserve"> </w:t>
      </w:r>
      <w:r>
        <w:rPr>
          <w:rStyle w:val="VerbatimChar"/>
        </w:rPr>
        <w:t xml:space="preserve">Tier2</w:t>
      </w:r>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c>
          <w:tcPr/>
          <w:p>
            <w:pPr>
              <w:pStyle w:val="Compact"/>
            </w:pPr>
            <w:r>
              <w:t xml:space="preserve">Notes</w:t>
            </w:r>
          </w:p>
        </w:tc>
      </w:tr>
      <w:tr>
        <w:tc>
          <w:tcPr/>
          <w:p>
            <w:pPr>
              <w:pStyle w:val="Compact"/>
            </w:pPr>
            <w:r>
              <w:t xml:space="preserve">Device properties</w:t>
            </w:r>
          </w:p>
        </w:tc>
        <w:tc>
          <w:tcPr/>
          <w:p>
            <w:pPr>
              <w:pStyle w:val="Compact"/>
            </w:pPr>
            <w:r>
              <w:t xml:space="preserve">Minimum OS version</w:t>
            </w:r>
          </w:p>
        </w:tc>
        <w:tc>
          <w:tcPr/>
          <w:p>
            <w:pPr>
              <w:pStyle w:val="Compact"/>
            </w:pPr>
            <w:r>
              <w:t xml:space="preserve">10.0.26100 (Windows 11, version 24H2)</w:t>
            </w:r>
          </w:p>
        </w:tc>
        <w:tc>
          <w:tcPr/>
          <w:p>
            <w:pPr>
              <w:pStyle w:val="Compact"/>
            </w:pPr>
            <w:r>
              <w:t xml:space="preserve">The source allowed Windows 10 21H2 for older hardware; that version is long out of support</w:t>
            </w:r>
          </w:p>
        </w:tc>
      </w:tr>
      <w:tr>
        <w:tc>
          <w:tcPr/>
          <w:p>
            <w:pPr>
              <w:pStyle w:val="Compact"/>
            </w:pPr>
            <w:r>
              <w:t xml:space="preserve">Device health</w:t>
            </w:r>
          </w:p>
        </w:tc>
        <w:tc>
          <w:tcPr/>
          <w:p>
            <w:pPr>
              <w:pStyle w:val="Compact"/>
            </w:pPr>
            <w:r>
              <w:t xml:space="preserve">Require BitLocker</w:t>
            </w:r>
          </w:p>
        </w:tc>
        <w:tc>
          <w:tcPr/>
          <w:p>
            <w:pPr>
              <w:pStyle w:val="Compact"/>
            </w:pPr>
            <w:r>
              <w:t xml:space="preserve">Require</w:t>
            </w:r>
          </w:p>
        </w:tc>
        <w:tc>
          <w:tcPr/>
          <w:p>
            <w:pPr>
              <w:pStyle w:val="Compact"/>
            </w:pPr>
            <w:r>
              <w:t xml:space="preserve">The source made BitLocker optional for personal devices; personal devices don’t receive this policy, they get AP-002</w:t>
            </w:r>
          </w:p>
        </w:tc>
      </w:tr>
      <w:tr>
        <w:tc>
          <w:tcPr/>
          <w:p>
            <w:pPr>
              <w:pStyle w:val="Compact"/>
            </w:pPr>
            <w:r>
              <w:t xml:space="preserve">Defender</w:t>
            </w:r>
          </w:p>
        </w:tc>
        <w:tc>
          <w:tcPr/>
          <w:p>
            <w:pPr>
              <w:pStyle w:val="Compact"/>
            </w:pPr>
            <w:r>
              <w:t xml:space="preserve">Antivirus</w:t>
            </w:r>
          </w:p>
        </w:tc>
        <w:tc>
          <w:tcPr/>
          <w:p>
            <w:pPr>
              <w:pStyle w:val="Compact"/>
            </w:pPr>
            <w:r>
              <w:t xml:space="preserve">Require</w:t>
            </w:r>
          </w:p>
        </w:tc>
        <w:tc>
          <w:tcPr/>
          <w:p>
            <w:pPr>
              <w:pStyle w:val="Compact"/>
            </w:pPr>
            <w:r>
              <w:t xml:space="preserve">—</w:t>
            </w:r>
          </w:p>
        </w:tc>
      </w:tr>
      <w:tr>
        <w:tc>
          <w:tcPr/>
          <w:p>
            <w:pPr>
              <w:pStyle w:val="Compact"/>
            </w:pPr>
            <w:r>
              <w:t xml:space="preserve">Password</w:t>
            </w:r>
          </w:p>
        </w:tc>
        <w:tc>
          <w:tcPr/>
          <w:p>
            <w:pPr>
              <w:pStyle w:val="Compact"/>
            </w:pPr>
            <w:r>
              <w:t xml:space="preserve">Minimum password length</w:t>
            </w:r>
          </w:p>
        </w:tc>
        <w:tc>
          <w:tcPr/>
          <w:p>
            <w:pPr>
              <w:pStyle w:val="Compact"/>
            </w:pPr>
            <w:r>
              <w:t xml:space="preserve">12</w:t>
            </w:r>
          </w:p>
        </w:tc>
        <w:tc>
          <w:tcPr/>
          <w:p>
            <w:pPr>
              <w:pStyle w:val="Compact"/>
            </w:pPr>
            <w:r>
              <w:t xml:space="preserve">Reduced from 14 for usability; a program decision</w:t>
            </w:r>
          </w:p>
        </w:tc>
      </w:tr>
      <w:tr>
        <w:tc>
          <w:tcPr/>
          <w:p>
            <w:pPr>
              <w:pStyle w:val="Compact"/>
            </w:pPr>
            <w:r>
              <w:t xml:space="preserve">Password</w:t>
            </w:r>
          </w:p>
        </w:tc>
        <w:tc>
          <w:tcPr/>
          <w:p>
            <w:pPr>
              <w:pStyle w:val="Compact"/>
            </w:pPr>
            <w:r>
              <w:t xml:space="preserve">Password type</w:t>
            </w:r>
          </w:p>
        </w:tc>
        <w:tc>
          <w:tcPr/>
          <w:p>
            <w:pPr>
              <w:pStyle w:val="Compact"/>
            </w:pPr>
            <w:r>
              <w:t xml:space="preserve">Alphanumeric</w:t>
            </w:r>
          </w:p>
        </w:tc>
        <w:tc>
          <w:tcPr/>
          <w:p>
            <w:pPr>
              <w:pStyle w:val="Compact"/>
            </w:pPr>
            <w:r>
              <w:t xml:space="preserve">—</w:t>
            </w:r>
          </w:p>
        </w:tc>
      </w:tr>
      <w:tr>
        <w:tc>
          <w:tcPr/>
          <w:p>
            <w:pPr>
              <w:pStyle w:val="Compact"/>
            </w:pPr>
            <w:r>
              <w:t xml:space="preserve">System security</w:t>
            </w:r>
          </w:p>
        </w:tc>
        <w:tc>
          <w:tcPr/>
          <w:p>
            <w:pPr>
              <w:pStyle w:val="Compact"/>
            </w:pPr>
            <w:r>
              <w:t xml:space="preserve">Firewall</w:t>
            </w:r>
          </w:p>
        </w:tc>
        <w:tc>
          <w:tcPr/>
          <w:p>
            <w:pPr>
              <w:pStyle w:val="Compact"/>
            </w:pPr>
            <w:r>
              <w:t xml:space="preserve">Require</w:t>
            </w:r>
          </w:p>
        </w:tc>
        <w:tc>
          <w:tcPr/>
          <w:p>
            <w:pPr>
              <w:pStyle w:val="Compact"/>
            </w:pPr>
            <w:r>
              <w:t xml:space="preserve">—</w:t>
            </w:r>
          </w:p>
        </w:tc>
      </w:tr>
      <w:tr>
        <w:tc>
          <w:tcPr/>
          <w:p>
            <w:pPr>
              <w:pStyle w:val="Compact"/>
            </w:pPr>
            <w:r>
              <w:t xml:space="preserve">System security</w:t>
            </w:r>
          </w:p>
        </w:tc>
        <w:tc>
          <w:tcPr/>
          <w:p>
            <w:pPr>
              <w:pStyle w:val="Compact"/>
            </w:pPr>
            <w:r>
              <w:t xml:space="preserve">TPM</w:t>
            </w:r>
          </w:p>
        </w:tc>
        <w:tc>
          <w:tcPr/>
          <w:p>
            <w:pPr>
              <w:pStyle w:val="Compact"/>
            </w:pPr>
            <w:r>
              <w:t xml:space="preserve">Require</w:t>
            </w:r>
          </w:p>
        </w:tc>
        <w:tc>
          <w:tcPr/>
          <w:p>
            <w:pPr>
              <w:pStyle w:val="Compact"/>
            </w:pPr>
            <w:r>
              <w:t xml:space="preserve">—</w:t>
            </w:r>
          </w:p>
        </w:tc>
      </w:tr>
    </w:tbl>
    <w:p>
      <w:pPr>
        <w:pStyle w:val="BodyText"/>
      </w:pPr>
      <w:r>
        <w:t xml:space="preserve"> </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Action</w:t>
            </w:r>
          </w:p>
        </w:tc>
        <w:tc>
          <w:tcPr/>
          <w:p>
            <w:pPr>
              <w:pStyle w:val="Compact"/>
            </w:pPr>
            <w:r>
              <w:t xml:space="preserve">Schedule</w:t>
            </w:r>
          </w:p>
        </w:tc>
      </w:tr>
      <w:tr>
        <w:tc>
          <w:tcPr/>
          <w:p>
            <w:pPr>
              <w:pStyle w:val="Compact"/>
            </w:pPr>
            <w:r>
              <w:t xml:space="preserve">Mark device noncompliant</w:t>
            </w:r>
          </w:p>
        </w:tc>
        <w:tc>
          <w:tcPr/>
          <w:p>
            <w:pPr>
              <w:pStyle w:val="Compact"/>
            </w:pPr>
            <w:r>
              <w:t xml:space="preserve">3 days</w:t>
            </w:r>
          </w:p>
        </w:tc>
      </w:tr>
      <w:tr>
        <w:tc>
          <w:tcPr/>
          <w:p>
            <w:pPr>
              <w:pStyle w:val="Compact"/>
            </w:pPr>
            <w:r>
              <w:t xml:space="preserve">Send email to end user</w:t>
            </w:r>
          </w:p>
        </w:tc>
        <w:tc>
          <w:tcPr/>
          <w:p>
            <w:pPr>
              <w:pStyle w:val="Compact"/>
            </w:pPr>
            <w:r>
              <w:t xml:space="preserve">3 days</w:t>
            </w:r>
          </w:p>
        </w:tc>
      </w:tr>
      <w:tr>
        <w:tc>
          <w:tcPr/>
          <w:p>
            <w:pPr>
              <w:pStyle w:val="Compact"/>
            </w:pPr>
            <w:r>
              <w:t xml:space="preserve">Add device to retire list</w:t>
            </w:r>
          </w:p>
        </w:tc>
        <w:tc>
          <w:tcPr/>
          <w:p>
            <w:pPr>
              <w:pStyle w:val="Compact"/>
            </w:pPr>
            <w:r>
              <w:t xml:space="preserve">30 days</w:t>
            </w:r>
          </w:p>
        </w:tc>
      </w:tr>
    </w:tbl>
    <w:bookmarkEnd w:id="81"/>
    <w:bookmarkStart w:id="85" w:name="Xbee2aecb21eb061eebc828b9b4f9461eabea4ee"/>
    <w:p>
      <w:pPr>
        <w:pStyle w:val="Heading3"/>
      </w:pPr>
      <w:r>
        <w:t xml:space="preserve">CP-004: server baseline (moved to Chapter 09)</w:t>
      </w:r>
    </w:p>
    <w:p>
      <w:pPr>
        <w:pStyle w:val="FirstParagraph"/>
      </w:pPr>
      <w:r>
        <w:t xml:space="preserve">The source defined CP-004 as an Intune compliance policy for Windows Server 2025 reached through Azure Arc. That can’t be built: Windows Server doesn’t enroll in Intune, and Intune compliance policies apply only to enrolled devices.</w:t>
      </w:r>
      <w:r>
        <w:rPr>
          <w:rStyle w:val="FootnoteReference"/>
        </w:rPr>
        <w:footnoteReference w:id="82"/>
      </w:r>
      <w:r>
        <w:t xml:space="preserve"> </w:t>
      </w:r>
      <w:r>
        <w:t xml:space="preserve">The intent survives as a server baseline, delivered and evaluated through the server toolchain in</w:t>
      </w:r>
      <w:r>
        <w:t xml:space="preserve"> </w:t>
      </w:r>
      <w:hyperlink r:id="rId20">
        <w:r>
          <w:rPr>
            <w:rStyle w:val="Hyperlink"/>
          </w:rPr>
          <w:t xml:space="preserve">Chapter 09</w:t>
        </w:r>
      </w:hyperlink>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Requirement</w:t>
            </w:r>
          </w:p>
        </w:tc>
        <w:tc>
          <w:tcPr/>
          <w:p>
            <w:pPr>
              <w:pStyle w:val="Compact"/>
            </w:pPr>
            <w:r>
              <w:t xml:space="preserve">Value</w:t>
            </w:r>
          </w:p>
        </w:tc>
        <w:tc>
          <w:tcPr/>
          <w:p>
            <w:pPr>
              <w:pStyle w:val="Compact"/>
            </w:pPr>
            <w:r>
              <w:t xml:space="preserve">Delivered through</w:t>
            </w:r>
          </w:p>
        </w:tc>
      </w:tr>
      <w:tr>
        <w:tc>
          <w:tcPr/>
          <w:p>
            <w:pPr>
              <w:pStyle w:val="Compact"/>
            </w:pPr>
            <w:r>
              <w:t xml:space="preserve">OS version</w:t>
            </w:r>
          </w:p>
        </w:tc>
        <w:tc>
          <w:tcPr/>
          <w:p>
            <w:pPr>
              <w:pStyle w:val="Compact"/>
            </w:pPr>
            <w:r>
              <w:t xml:space="preserve">Windows Server 2025 (build 26100)</w:t>
            </w:r>
          </w:p>
        </w:tc>
        <w:tc>
          <w:tcPr/>
          <w:p>
            <w:pPr>
              <w:pStyle w:val="Compact"/>
            </w:pPr>
            <w:r>
              <w:t xml:space="preserve">Server inventory under Azure Arc</w:t>
            </w:r>
          </w:p>
        </w:tc>
      </w:tr>
      <w:tr>
        <w:tc>
          <w:tcPr/>
          <w:p>
            <w:pPr>
              <w:pStyle w:val="Compact"/>
            </w:pPr>
            <w:r>
              <w:t xml:space="preserve">Defender</w:t>
            </w:r>
          </w:p>
        </w:tc>
        <w:tc>
          <w:tcPr/>
          <w:p>
            <w:pPr>
              <w:pStyle w:val="Compact"/>
            </w:pPr>
            <w:r>
              <w:t xml:space="preserve">Microsoft Defender for Servers Plan 2</w:t>
            </w:r>
          </w:p>
        </w:tc>
        <w:tc>
          <w:tcPr/>
          <w:p>
            <w:pPr>
              <w:pStyle w:val="Compact"/>
            </w:pPr>
            <w:r>
              <w:t xml:space="preserve">Defender for Cloud; endpoint security policy through Defender for Endpoint security settings management</w:t>
            </w:r>
            <w:r>
              <w:rPr>
                <w:rStyle w:val="FootnoteReference"/>
              </w:rPr>
              <w:footnoteReference w:id="83"/>
            </w:r>
          </w:p>
        </w:tc>
      </w:tr>
      <w:tr>
        <w:tc>
          <w:tcPr/>
          <w:p>
            <w:pPr>
              <w:pStyle w:val="Compact"/>
            </w:pPr>
            <w:r>
              <w:t xml:space="preserve">Firewall</w:t>
            </w:r>
          </w:p>
        </w:tc>
        <w:tc>
          <w:tcPr/>
          <w:p>
            <w:pPr>
              <w:pStyle w:val="Compact"/>
            </w:pPr>
            <w:r>
              <w:t xml:space="preserve">On, all profiles</w:t>
            </w:r>
          </w:p>
        </w:tc>
        <w:tc>
          <w:tcPr/>
          <w:p>
            <w:pPr>
              <w:pStyle w:val="Compact"/>
            </w:pPr>
            <w:r>
              <w:t xml:space="preserve">Endpoint security firewall policy through security settings management</w:t>
            </w:r>
          </w:p>
        </w:tc>
      </w:tr>
      <w:tr>
        <w:tc>
          <w:tcPr/>
          <w:p>
            <w:pPr>
              <w:pStyle w:val="Compact"/>
            </w:pPr>
            <w:r>
              <w:t xml:space="preserve">Secure Boot</w:t>
            </w:r>
          </w:p>
        </w:tc>
        <w:tc>
          <w:tcPr/>
          <w:p>
            <w:pPr>
              <w:pStyle w:val="Compact"/>
            </w:pPr>
            <w:r>
              <w:t xml:space="preserve">On</w:t>
            </w:r>
          </w:p>
        </w:tc>
        <w:tc>
          <w:tcPr/>
          <w:p>
            <w:pPr>
              <w:pStyle w:val="Compact"/>
            </w:pPr>
            <w:r>
              <w:t xml:space="preserve">Machine configuration baseline (Chapter 09)</w:t>
            </w:r>
          </w:p>
        </w:tc>
      </w:tr>
      <w:tr>
        <w:tc>
          <w:tcPr/>
          <w:p>
            <w:pPr>
              <w:pStyle w:val="Compact"/>
            </w:pPr>
            <w:r>
              <w:t xml:space="preserve">Noncompliance</w:t>
            </w:r>
          </w:p>
        </w:tc>
        <w:tc>
          <w:tcPr/>
          <w:p>
            <w:pPr>
              <w:pStyle w:val="Compact"/>
            </w:pPr>
            <w:r>
              <w:t xml:space="preserve">Server admin team notified after 1 day; no automatic retirement</w:t>
            </w:r>
          </w:p>
        </w:tc>
        <w:tc>
          <w:tcPr/>
          <w:p>
            <w:pPr>
              <w:pStyle w:val="Compact"/>
            </w:pPr>
            <w:r>
              <w:t xml:space="preserve">Alerting in Chapter 10</w:t>
            </w:r>
          </w:p>
        </w:tc>
      </w:tr>
    </w:tbl>
    <w:p>
      <w:pPr>
        <w:pStyle w:val="BodyText"/>
      </w:pPr>
      <w:r>
        <w:t xml:space="preserve">Security settings management has a licensing catch for servers: if the tenant’s only Defender for Endpoint entitlement comes through Defender for Servers, the feature isn’t available; at least one Defender for Endpoint user license must be active.</w:t>
      </w:r>
      <w:r>
        <w:rPr>
          <w:rStyle w:val="FootnoteReference"/>
        </w:rPr>
        <w:footnoteReference w:id="84"/>
      </w:r>
    </w:p>
    <w:bookmarkEnd w:id="85"/>
    <w:bookmarkStart w:id="86" w:name="cp-005-kiosk-and-shared-devices"/>
    <w:p>
      <w:pPr>
        <w:pStyle w:val="Heading3"/>
      </w:pPr>
      <w:r>
        <w:t xml:space="preserve">CP-005: kiosk and shared devices</w:t>
      </w:r>
    </w:p>
    <w:p>
      <w:pPr>
        <w:pStyle w:val="FirstParagraph"/>
      </w:pPr>
      <w:r>
        <w:rPr>
          <w:b/>
          <w:bCs/>
        </w:rPr>
        <w:t xml:space="preserve">Platform:</w:t>
      </w:r>
      <w:r>
        <w:t xml:space="preserve"> </w:t>
      </w:r>
      <w:r>
        <w:t xml:space="preserve">Windows 11 ·</w:t>
      </w:r>
      <w:r>
        <w:t xml:space="preserve"> </w:t>
      </w:r>
      <w:r>
        <w:rPr>
          <w:b/>
          <w:bCs/>
        </w:rPr>
        <w:t xml:space="preserve">Target:</w:t>
      </w:r>
      <w:r>
        <w:t xml:space="preserve"> </w:t>
      </w:r>
      <w:r>
        <w:t xml:space="preserve">kiosk and shared devices ·</w:t>
      </w:r>
      <w:r>
        <w:t xml:space="preserve"> </w:t>
      </w:r>
      <w:r>
        <w:rPr>
          <w:b/>
          <w:bCs/>
        </w:rPr>
        <w:t xml:space="preserve">Group:</w:t>
      </w:r>
      <w:r>
        <w:t xml:space="preserve"> </w:t>
      </w:r>
      <w:r>
        <w:rPr>
          <w:rStyle w:val="VerbatimChar"/>
        </w:rPr>
        <w:t xml:space="preserve">extensionAttribute12</w:t>
      </w:r>
      <w:r>
        <w:t xml:space="preserve"> </w:t>
      </w:r>
      <w:r>
        <w:t xml:space="preserve">equals</w:t>
      </w:r>
      <w:r>
        <w:t xml:space="preserve"> </w:t>
      </w:r>
      <w:r>
        <w:rPr>
          <w:rStyle w:val="VerbatimChar"/>
        </w:rPr>
        <w:t xml:space="preserve">Kiosk</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r>
      <w:tr>
        <w:tc>
          <w:tcPr/>
          <w:p>
            <w:pPr>
              <w:pStyle w:val="Compact"/>
            </w:pPr>
            <w:r>
              <w:t xml:space="preserve">Device properties</w:t>
            </w:r>
          </w:p>
        </w:tc>
        <w:tc>
          <w:tcPr/>
          <w:p>
            <w:pPr>
              <w:pStyle w:val="Compact"/>
            </w:pPr>
            <w:r>
              <w:t xml:space="preserve">Minimum OS version</w:t>
            </w:r>
          </w:p>
        </w:tc>
        <w:tc>
          <w:tcPr/>
          <w:p>
            <w:pPr>
              <w:pStyle w:val="Compact"/>
            </w:pPr>
            <w:r>
              <w:t xml:space="preserve">10.0.26100 (Windows 11, version 24H2)</w:t>
            </w:r>
          </w:p>
        </w:tc>
      </w:tr>
      <w:tr>
        <w:tc>
          <w:tcPr/>
          <w:p>
            <w:pPr>
              <w:pStyle w:val="Compact"/>
            </w:pPr>
            <w:r>
              <w:t xml:space="preserve">Defender</w:t>
            </w:r>
          </w:p>
        </w:tc>
        <w:tc>
          <w:tcPr/>
          <w:p>
            <w:pPr>
              <w:pStyle w:val="Compact"/>
            </w:pPr>
            <w:r>
              <w:t xml:space="preserve">Antivirus</w:t>
            </w:r>
          </w:p>
        </w:tc>
        <w:tc>
          <w:tcPr/>
          <w:p>
            <w:pPr>
              <w:pStyle w:val="Compact"/>
            </w:pPr>
            <w:r>
              <w:t xml:space="preserve">Require</w:t>
            </w:r>
          </w:p>
        </w:tc>
      </w:tr>
      <w:tr>
        <w:tc>
          <w:tcPr/>
          <w:p>
            <w:pPr>
              <w:pStyle w:val="Compact"/>
            </w:pPr>
            <w:r>
              <w:t xml:space="preserve">Defender</w:t>
            </w:r>
          </w:p>
        </w:tc>
        <w:tc>
          <w:tcPr/>
          <w:p>
            <w:pPr>
              <w:pStyle w:val="Compact"/>
            </w:pPr>
            <w:r>
              <w:t xml:space="preserve">Real-time protection</w:t>
            </w:r>
          </w:p>
        </w:tc>
        <w:tc>
          <w:tcPr/>
          <w:p>
            <w:pPr>
              <w:pStyle w:val="Compact"/>
            </w:pPr>
            <w:r>
              <w:t xml:space="preserve">Require</w:t>
            </w:r>
          </w:p>
        </w:tc>
      </w:tr>
      <w:tr>
        <w:tc>
          <w:tcPr/>
          <w:p>
            <w:pPr>
              <w:pStyle w:val="Compact"/>
            </w:pPr>
            <w:r>
              <w:t xml:space="preserve">System security</w:t>
            </w:r>
          </w:p>
        </w:tc>
        <w:tc>
          <w:tcPr/>
          <w:p>
            <w:pPr>
              <w:pStyle w:val="Compact"/>
            </w:pPr>
            <w:r>
              <w:t xml:space="preserve">Firewall</w:t>
            </w:r>
          </w:p>
        </w:tc>
        <w:tc>
          <w:tcPr/>
          <w:p>
            <w:pPr>
              <w:pStyle w:val="Compact"/>
            </w:pPr>
            <w:r>
              <w:t xml:space="preserve">Require</w:t>
            </w:r>
          </w:p>
        </w:tc>
      </w:tr>
    </w:tbl>
    <w:p>
      <w:pPr>
        <w:pStyle w:val="BodyText"/>
      </w:pPr>
      <w:r>
        <w:t xml:space="preserve">The source’s</w:t>
      </w:r>
      <w:r>
        <w:t xml:space="preserve"> </w:t>
      </w:r>
      <w:r>
        <w:t xml:space="preserve">“shared device mode”</w:t>
      </w:r>
      <w:r>
        <w:t xml:space="preserve"> </w:t>
      </w:r>
      <w:r>
        <w:t xml:space="preserve">setting isn’t a Windows compliance setting; shared and kiosk behavior is configuration, set in a kiosk or shared multi-user device profile. Its</w:t>
      </w:r>
      <w:r>
        <w:t xml:space="preserve"> </w:t>
      </w:r>
      <w:r>
        <w:t xml:space="preserve">“block access”</w:t>
      </w:r>
      <w:r>
        <w:t xml:space="preserve"> </w:t>
      </w:r>
      <w:r>
        <w:t xml:space="preserve">action doesn’t exist either; marking the device noncompliant is what lets Conditional Access block it. Kiosks aren’t added to the retire list, because they are managed assets that get repaired, not retired.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Action</w:t>
            </w:r>
          </w:p>
        </w:tc>
        <w:tc>
          <w:tcPr/>
          <w:p>
            <w:pPr>
              <w:pStyle w:val="Compact"/>
            </w:pPr>
            <w:r>
              <w:t xml:space="preserve">Schedule</w:t>
            </w:r>
          </w:p>
        </w:tc>
        <w:tc>
          <w:tcPr/>
          <w:p>
            <w:pPr>
              <w:pStyle w:val="Compact"/>
            </w:pPr>
            <w:r>
              <w:t xml:space="preserve">Notes</w:t>
            </w:r>
          </w:p>
        </w:tc>
      </w:tr>
      <w:tr>
        <w:tc>
          <w:tcPr/>
          <w:p>
            <w:pPr>
              <w:pStyle w:val="Compact"/>
            </w:pPr>
            <w:r>
              <w:t xml:space="preserve">Mark device noncompliant</w:t>
            </w:r>
          </w:p>
        </w:tc>
        <w:tc>
          <w:tcPr/>
          <w:p>
            <w:pPr>
              <w:pStyle w:val="Compact"/>
            </w:pPr>
            <w:r>
              <w:t xml:space="preserve">2 days</w:t>
            </w:r>
          </w:p>
        </w:tc>
        <w:tc>
          <w:tcPr/>
          <w:p>
            <w:pPr>
              <w:pStyle w:val="Compact"/>
            </w:pPr>
            <w:r>
              <w:t xml:space="preserve">Grace for maintenance windows</w:t>
            </w:r>
          </w:p>
        </w:tc>
      </w:tr>
      <w:tr>
        <w:tc>
          <w:tcPr/>
          <w:p>
            <w:pPr>
              <w:pStyle w:val="Compact"/>
            </w:pPr>
            <w:r>
              <w:t xml:space="preserve">Send email to the device owner group</w:t>
            </w:r>
          </w:p>
        </w:tc>
        <w:tc>
          <w:tcPr/>
          <w:p>
            <w:pPr>
              <w:pStyle w:val="Compact"/>
            </w:pPr>
            <w:r>
              <w:t xml:space="preserve">2 days</w:t>
            </w:r>
          </w:p>
        </w:tc>
        <w:tc>
          <w:tcPr/>
          <w:p>
            <w:pPr>
              <w:pStyle w:val="Compact"/>
            </w:pPr>
            <w:r>
              <w:t xml:space="preserve">Kiosks have no individual user</w:t>
            </w:r>
          </w:p>
        </w:tc>
      </w:tr>
    </w:tbl>
    <w:bookmarkEnd w:id="86"/>
    <w:bookmarkStart w:id="87" w:name="compliance-summary"/>
    <w:p>
      <w:pPr>
        <w:pStyle w:val="Heading3"/>
      </w:pPr>
      <w:r>
        <w:t xml:space="preserve">Compliance summary</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Setting</w:t>
            </w:r>
          </w:p>
        </w:tc>
        <w:tc>
          <w:tcPr/>
          <w:p>
            <w:pPr>
              <w:pStyle w:val="Compact"/>
            </w:pPr>
            <w:r>
              <w:t xml:space="preserve">CP-001 baseline</w:t>
            </w:r>
          </w:p>
        </w:tc>
        <w:tc>
          <w:tcPr/>
          <w:p>
            <w:pPr>
              <w:pStyle w:val="Compact"/>
            </w:pPr>
            <w:r>
              <w:t xml:space="preserve">CP-002 Tier 0</w:t>
            </w:r>
          </w:p>
        </w:tc>
        <w:tc>
          <w:tcPr/>
          <w:p>
            <w:pPr>
              <w:pStyle w:val="Compact"/>
            </w:pPr>
            <w:r>
              <w:t xml:space="preserve">CP-003 Tier 2</w:t>
            </w:r>
          </w:p>
        </w:tc>
        <w:tc>
          <w:tcPr/>
          <w:p>
            <w:pPr>
              <w:pStyle w:val="Compact"/>
            </w:pPr>
            <w:r>
              <w:t xml:space="preserve">Server baseline (Ch 09)</w:t>
            </w:r>
          </w:p>
        </w:tc>
        <w:tc>
          <w:tcPr/>
          <w:p>
            <w:pPr>
              <w:pStyle w:val="Compact"/>
            </w:pPr>
            <w:r>
              <w:t xml:space="preserve">CP-005 kiosk</w:t>
            </w:r>
          </w:p>
        </w:tc>
      </w:tr>
      <w:tr>
        <w:tc>
          <w:tcPr/>
          <w:p>
            <w:pPr>
              <w:pStyle w:val="Compact"/>
            </w:pPr>
            <w:r>
              <w:t xml:space="preserve">Minimum OS</w:t>
            </w:r>
          </w:p>
        </w:tc>
        <w:tc>
          <w:tcPr/>
          <w:p>
            <w:pPr>
              <w:pStyle w:val="Compact"/>
            </w:pPr>
            <w:r>
              <w:t xml:space="preserve">Windows 11 24H2</w:t>
            </w:r>
          </w:p>
        </w:tc>
        <w:tc>
          <w:tcPr/>
          <w:p>
            <w:pPr>
              <w:pStyle w:val="Compact"/>
            </w:pPr>
            <w:r>
              <w:t xml:space="preserve">Windows 11 25H2</w:t>
            </w:r>
          </w:p>
        </w:tc>
        <w:tc>
          <w:tcPr/>
          <w:p>
            <w:pPr>
              <w:pStyle w:val="Compact"/>
            </w:pPr>
            <w:r>
              <w:t xml:space="preserve">Windows 11 24H2</w:t>
            </w:r>
          </w:p>
        </w:tc>
        <w:tc>
          <w:tcPr/>
          <w:p>
            <w:pPr>
              <w:pStyle w:val="Compact"/>
            </w:pPr>
            <w:r>
              <w:t xml:space="preserve">Windows Server 2025</w:t>
            </w:r>
          </w:p>
        </w:tc>
        <w:tc>
          <w:tcPr/>
          <w:p>
            <w:pPr>
              <w:pStyle w:val="Compact"/>
            </w:pPr>
            <w:r>
              <w:t xml:space="preserve">Windows 11 24H2</w:t>
            </w:r>
          </w:p>
        </w:tc>
      </w:tr>
      <w:tr>
        <w:tc>
          <w:tcPr/>
          <w:p>
            <w:pPr>
              <w:pStyle w:val="Compact"/>
            </w:pPr>
            <w:r>
              <w:t xml:space="preserve">BitLocker</w:t>
            </w:r>
          </w:p>
        </w:tc>
        <w:tc>
          <w:tcPr/>
          <w:p>
            <w:pPr>
              <w:pStyle w:val="Compact"/>
            </w:pPr>
            <w:r>
              <w:t xml:space="preserve">Require</w:t>
            </w:r>
          </w:p>
        </w:tc>
        <w:tc>
          <w:tcPr/>
          <w:p>
            <w:pPr>
              <w:pStyle w:val="Compact"/>
            </w:pPr>
            <w:r>
              <w:t xml:space="preserve">Require</w:t>
            </w:r>
          </w:p>
        </w:tc>
        <w:tc>
          <w:tcPr/>
          <w:p>
            <w:pPr>
              <w:pStyle w:val="Compact"/>
            </w:pPr>
            <w:r>
              <w:t xml:space="preserve">Require</w:t>
            </w:r>
          </w:p>
        </w:tc>
        <w:tc>
          <w:tcPr/>
          <w:p>
            <w:pPr>
              <w:pStyle w:val="Compact"/>
            </w:pPr>
            <w:r>
              <w:t xml:space="preserve">Chapter 09</w:t>
            </w:r>
          </w:p>
        </w:tc>
        <w:tc>
          <w:tcPr/>
          <w:p>
            <w:pPr>
              <w:pStyle w:val="Compact"/>
            </w:pPr>
            <w:r>
              <w:t xml:space="preserve">—</w:t>
            </w:r>
          </w:p>
        </w:tc>
      </w:tr>
      <w:tr>
        <w:tc>
          <w:tcPr/>
          <w:p>
            <w:pPr>
              <w:pStyle w:val="Compact"/>
            </w:pPr>
            <w:r>
              <w:t xml:space="preserve">Defender risk score</w:t>
            </w:r>
          </w:p>
        </w:tc>
        <w:tc>
          <w:tcPr/>
          <w:p>
            <w:pPr>
              <w:pStyle w:val="Compact"/>
            </w:pPr>
            <w:r>
              <w:t xml:space="preserve">—</w:t>
            </w:r>
          </w:p>
        </w:tc>
        <w:tc>
          <w:tcPr/>
          <w:p>
            <w:pPr>
              <w:pStyle w:val="Compact"/>
            </w:pPr>
            <w:r>
              <w:t xml:space="preserve">Clear</w:t>
            </w:r>
          </w:p>
        </w:tc>
        <w:tc>
          <w:tcPr/>
          <w:p>
            <w:pPr>
              <w:pStyle w:val="Compact"/>
            </w:pPr>
            <w:r>
              <w:t xml:space="preserve">—</w:t>
            </w:r>
          </w:p>
        </w:tc>
        <w:tc>
          <w:tcPr/>
          <w:p>
            <w:pPr>
              <w:pStyle w:val="Compact"/>
            </w:pPr>
            <w:r>
              <w:t xml:space="preserve">Defender for Servers</w:t>
            </w:r>
          </w:p>
        </w:tc>
        <w:tc>
          <w:tcPr/>
          <w:p>
            <w:pPr>
              <w:pStyle w:val="Compact"/>
            </w:pPr>
            <w:r>
              <w:t xml:space="preserve">—</w:t>
            </w:r>
          </w:p>
        </w:tc>
      </w:tr>
      <w:tr>
        <w:tc>
          <w:tcPr/>
          <w:p>
            <w:pPr>
              <w:pStyle w:val="Compact"/>
            </w:pPr>
            <w:r>
              <w:t xml:space="preserve">Password length</w:t>
            </w:r>
          </w:p>
        </w:tc>
        <w:tc>
          <w:tcPr/>
          <w:p>
            <w:pPr>
              <w:pStyle w:val="Compact"/>
            </w:pPr>
            <w:r>
              <w:t xml:space="preserve">14</w:t>
            </w:r>
          </w:p>
        </w:tc>
        <w:tc>
          <w:tcPr/>
          <w:p>
            <w:pPr>
              <w:pStyle w:val="Compact"/>
            </w:pPr>
            <w:r>
              <w:t xml:space="preserve">14</w:t>
            </w:r>
          </w:p>
        </w:tc>
        <w:tc>
          <w:tcPr/>
          <w:p>
            <w:pPr>
              <w:pStyle w:val="Compact"/>
            </w:pPr>
            <w:r>
              <w:t xml:space="preserve">12</w:t>
            </w:r>
          </w:p>
        </w:tc>
        <w:tc>
          <w:tcPr/>
          <w:p>
            <w:pPr>
              <w:pStyle w:val="Compact"/>
            </w:pPr>
            <w:r>
              <w:t xml:space="preserve">Chapter 09</w:t>
            </w:r>
          </w:p>
        </w:tc>
        <w:tc>
          <w:tcPr/>
          <w:p>
            <w:pPr>
              <w:pStyle w:val="Compact"/>
            </w:pPr>
            <w:r>
              <w:t xml:space="preserve">—</w:t>
            </w:r>
          </w:p>
        </w:tc>
      </w:tr>
      <w:tr>
        <w:tc>
          <w:tcPr/>
          <w:p>
            <w:pPr>
              <w:pStyle w:val="Compact"/>
            </w:pPr>
            <w:r>
              <w:t xml:space="preserve">Grace period</w:t>
            </w:r>
          </w:p>
        </w:tc>
        <w:tc>
          <w:tcPr/>
          <w:p>
            <w:pPr>
              <w:pStyle w:val="Compact"/>
            </w:pPr>
            <w:r>
              <w:t xml:space="preserve">1 day</w:t>
            </w:r>
          </w:p>
        </w:tc>
        <w:tc>
          <w:tcPr/>
          <w:p>
            <w:pPr>
              <w:pStyle w:val="Compact"/>
            </w:pPr>
            <w:r>
              <w:t xml:space="preserve">0 days</w:t>
            </w:r>
          </w:p>
        </w:tc>
        <w:tc>
          <w:tcPr/>
          <w:p>
            <w:pPr>
              <w:pStyle w:val="Compact"/>
            </w:pPr>
            <w:r>
              <w:t xml:space="preserve">3 days</w:t>
            </w:r>
          </w:p>
        </w:tc>
        <w:tc>
          <w:tcPr/>
          <w:p>
            <w:pPr>
              <w:pStyle w:val="Compact"/>
            </w:pPr>
            <w:r>
              <w:t xml:space="preserve">1 day (alert)</w:t>
            </w:r>
          </w:p>
        </w:tc>
        <w:tc>
          <w:tcPr/>
          <w:p>
            <w:pPr>
              <w:pStyle w:val="Compact"/>
            </w:pPr>
            <w:r>
              <w:t xml:space="preserve">2 days</w:t>
            </w:r>
          </w:p>
        </w:tc>
      </w:tr>
      <w:tr>
        <w:tc>
          <w:tcPr/>
          <w:p>
            <w:pPr>
              <w:pStyle w:val="Compact"/>
            </w:pPr>
            <w:r>
              <w:t xml:space="preserve">Retire list</w:t>
            </w:r>
          </w:p>
        </w:tc>
        <w:tc>
          <w:tcPr/>
          <w:p>
            <w:pPr>
              <w:pStyle w:val="Compact"/>
            </w:pPr>
            <w:r>
              <w:t xml:space="preserve">30 days</w:t>
            </w:r>
          </w:p>
        </w:tc>
        <w:tc>
          <w:tcPr/>
          <w:p>
            <w:pPr>
              <w:pStyle w:val="Compact"/>
            </w:pPr>
            <w:r>
              <w:t xml:space="preserve">7 days</w:t>
            </w:r>
          </w:p>
        </w:tc>
        <w:tc>
          <w:tcPr/>
          <w:p>
            <w:pPr>
              <w:pStyle w:val="Compact"/>
            </w:pPr>
            <w:r>
              <w:t xml:space="preserve">30 days</w:t>
            </w:r>
          </w:p>
        </w:tc>
        <w:tc>
          <w:tcPr/>
          <w:p>
            <w:pPr>
              <w:pStyle w:val="Compact"/>
            </w:pPr>
            <w:r>
              <w:t xml:space="preserve">No</w:t>
            </w:r>
          </w:p>
        </w:tc>
        <w:tc>
          <w:tcPr/>
          <w:p>
            <w:pPr>
              <w:pStyle w:val="Compact"/>
            </w:pPr>
            <w:r>
              <w:t xml:space="preserve">No</w:t>
            </w:r>
          </w:p>
        </w:tc>
      </w:tr>
    </w:tbl>
    <w:bookmarkEnd w:id="87"/>
    <w:bookmarkEnd w:id="88"/>
    <w:bookmarkStart w:id="117" w:name="configuration-profiles-settings-catalog"/>
    <w:p>
      <w:pPr>
        <w:pStyle w:val="Heading2"/>
      </w:pPr>
      <w:r>
        <w:t xml:space="preserve">Configuration profiles (settings catalog)</w:t>
      </w:r>
    </w:p>
    <w:p>
      <w:pPr>
        <w:pStyle w:val="FirstParagraph"/>
      </w:pPr>
      <w:r>
        <w:t xml:space="preserve">Settings catalog profiles replace ADMX-backed Group Policy with cloud-delivered configuration. Each profile below maps the GPO paths to the settings that replace them. All are assigned to all corporate devices unless the profile says otherwise.</w:t>
      </w:r>
    </w:p>
    <w:p>
      <w:pPr>
        <w:pStyle w:val="BodyText"/>
      </w:pPr>
      <w:r>
        <w:t xml:space="preserve">The source library also defined four settings catalog profiles for security settings: SC-002 (Defender Antivirus), SC-006 (BitLocker), SC-007 (Windows Firewall) and SC-008 (Windows LAPS). Each duplicated an Endpoint security policy that configured the same settings, and Microsoft’s guidance is to manage a given setting through one method, because duplicates across policy types conflict.</w:t>
      </w:r>
      <w:r>
        <w:rPr>
          <w:rStyle w:val="FootnoteReference"/>
        </w:rPr>
        <w:footnoteReference w:id="89"/>
      </w:r>
      <w:r>
        <w:t xml:space="preserve"> </w:t>
      </w:r>
      <w:r>
        <w:t xml:space="preserve">The program moved their settings into ES-001, ES-002, ES-003 and ES-006, and retired the four IDs rather than reusing them.</w:t>
      </w:r>
      <w:r>
        <w:t xml:space="preserve"> </w:t>
      </w:r>
      <w:hyperlink r:id="rId13">
        <w:r>
          <w:rPr>
            <w:rStyle w:val="Hyperlink"/>
          </w:rPr>
          <w:t xml:space="preserve">Appendix A</w:t>
        </w:r>
      </w:hyperlink>
      <w:r>
        <w:t xml:space="preserve"> </w:t>
      </w:r>
      <w:r>
        <w:t xml:space="preserve">maps the GPO settings to the Endpoint security IDs accordingly.</w:t>
      </w:r>
    </w:p>
    <w:bookmarkStart w:id="97" w:name="sc-001-windows-security-baseline"/>
    <w:p>
      <w:pPr>
        <w:pStyle w:val="Heading3"/>
      </w:pPr>
      <w:r>
        <w:t xml:space="preserve">SC-001: Windows security baseline</w:t>
      </w:r>
    </w:p>
    <w:p>
      <w:pPr>
        <w:pStyle w:val="FirstParagraph"/>
      </w:pPr>
      <w:r>
        <w:rPr>
          <w:b/>
          <w:bCs/>
        </w:rPr>
        <w:t xml:space="preserve">Group:</w:t>
      </w:r>
      <w:r>
        <w:t xml:space="preserve"> </w:t>
      </w:r>
      <w:r>
        <w:t xml:space="preserve">devices where</w:t>
      </w:r>
      <w:r>
        <w:t xml:space="preserve"> </w:t>
      </w:r>
      <w:r>
        <w:rPr>
          <w:rStyle w:val="VerbatimChar"/>
        </w:rPr>
        <w:t xml:space="preserve">extensionAttribute11</w:t>
      </w:r>
      <w:r>
        <w:t xml:space="preserve"> </w:t>
      </w:r>
      <w:r>
        <w:t xml:space="preserve">is</w:t>
      </w:r>
      <w:r>
        <w:t xml:space="preserve"> </w:t>
      </w:r>
      <w:r>
        <w:rPr>
          <w:rStyle w:val="VerbatimChar"/>
        </w:rPr>
        <w:t xml:space="preserve">Tier0</w:t>
      </w:r>
      <w:r>
        <w:t xml:space="preserve">,</w:t>
      </w:r>
      <w:r>
        <w:t xml:space="preserve"> </w:t>
      </w:r>
      <w:r>
        <w:rPr>
          <w:rStyle w:val="VerbatimChar"/>
        </w:rPr>
        <w:t xml:space="preserve">Tier1</w:t>
      </w:r>
      <w:r>
        <w:t xml:space="preserve"> </w:t>
      </w:r>
      <w:r>
        <w:t xml:space="preserve">or</w:t>
      </w:r>
      <w:r>
        <w:t xml:space="preserve"> </w:t>
      </w:r>
      <w:r>
        <w:rPr>
          <w:rStyle w:val="VerbatimChar"/>
        </w:rPr>
        <w:t xml:space="preserve">Tier2</w:t>
      </w:r>
      <w:r>
        <w:t xml:space="preserve">.</w:t>
      </w:r>
    </w:p>
    <w:bookmarkStart w:id="93" w:name="account-lockout"/>
    <w:p>
      <w:pPr>
        <w:pStyle w:val="Heading4"/>
      </w:pPr>
      <w:r>
        <w:t xml:space="preserve">Account lockout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GPO path</w:t>
            </w:r>
          </w:p>
        </w:tc>
        <w:tc>
          <w:tcPr/>
          <w:p>
            <w:pPr>
              <w:pStyle w:val="Compact"/>
            </w:pPr>
            <w:r>
              <w:t xml:space="preserve">GPO setting</w:t>
            </w:r>
          </w:p>
        </w:tc>
        <w:tc>
          <w:tcPr/>
          <w:p>
            <w:pPr>
              <w:pStyle w:val="Compact"/>
            </w:pPr>
            <w:r>
              <w:t xml:space="preserve">Settings catalog</w:t>
            </w:r>
          </w:p>
        </w:tc>
        <w:tc>
          <w:tcPr/>
          <w:p>
            <w:pPr>
              <w:pStyle w:val="Compact"/>
            </w:pPr>
            <w:r>
              <w:t xml:space="preserve">Value</w:t>
            </w:r>
          </w:p>
        </w:tc>
      </w:tr>
      <w:tr>
        <w:tc>
          <w:tcPr/>
          <w:p>
            <w:pPr>
              <w:pStyle w:val="Compact"/>
            </w:pPr>
            <w:r>
              <w:t xml:space="preserve">Computer Configuration &gt; Windows Settings &gt; Security Settings &gt; Account Policies &gt; Account Lockout Policy</w:t>
            </w:r>
          </w:p>
        </w:tc>
        <w:tc>
          <w:tcPr/>
          <w:p>
            <w:pPr>
              <w:pStyle w:val="Compact"/>
            </w:pPr>
            <w:r>
              <w:t xml:space="preserve">Account lockout threshold</w:t>
            </w:r>
          </w:p>
        </w:tc>
        <w:tc>
          <w:tcPr/>
          <w:p>
            <w:pPr>
              <w:pStyle w:val="Compact"/>
            </w:pPr>
            <w:r>
              <w:t xml:space="preserve">Device Lock &gt; Account Lockout Policy</w:t>
            </w:r>
          </w:p>
        </w:tc>
        <w:tc>
          <w:tcPr/>
          <w:p>
            <w:pPr>
              <w:pStyle w:val="Compact"/>
            </w:pPr>
            <w:r>
              <w:t xml:space="preserve">10 invalid attempts</w:t>
            </w:r>
          </w:p>
        </w:tc>
      </w:tr>
      <w:tr>
        <w:tc>
          <w:tcPr/>
          <w:p>
            <w:pPr>
              <w:pStyle w:val="Compact"/>
            </w:pPr>
            <w:r>
              <w:t xml:space="preserve">Same</w:t>
            </w:r>
          </w:p>
        </w:tc>
        <w:tc>
          <w:tcPr/>
          <w:p>
            <w:pPr>
              <w:pStyle w:val="Compact"/>
            </w:pPr>
            <w:r>
              <w:t xml:space="preserve">Account lockout duration</w:t>
            </w:r>
          </w:p>
        </w:tc>
        <w:tc>
          <w:tcPr/>
          <w:p>
            <w:pPr>
              <w:pStyle w:val="Compact"/>
            </w:pPr>
            <w:r>
              <w:t xml:space="preserve">Device Lock &gt; Account Lockout Policy</w:t>
            </w:r>
          </w:p>
        </w:tc>
        <w:tc>
          <w:tcPr/>
          <w:p>
            <w:pPr>
              <w:pStyle w:val="Compact"/>
            </w:pPr>
            <w:r>
              <w:t xml:space="preserve">15 minutes</w:t>
            </w:r>
          </w:p>
        </w:tc>
      </w:tr>
      <w:tr>
        <w:tc>
          <w:tcPr/>
          <w:p>
            <w:pPr>
              <w:pStyle w:val="Compact"/>
            </w:pPr>
            <w:r>
              <w:t xml:space="preserve">Same</w:t>
            </w:r>
          </w:p>
        </w:tc>
        <w:tc>
          <w:tcPr/>
          <w:p>
            <w:pPr>
              <w:pStyle w:val="Compact"/>
            </w:pPr>
            <w:r>
              <w:t xml:space="preserve">Reset account lockout counter after</w:t>
            </w:r>
          </w:p>
        </w:tc>
        <w:tc>
          <w:tcPr/>
          <w:p>
            <w:pPr>
              <w:pStyle w:val="Compact"/>
            </w:pPr>
            <w:r>
              <w:t xml:space="preserve">Device Lock &gt; Account Lockout Policy</w:t>
            </w:r>
          </w:p>
        </w:tc>
        <w:tc>
          <w:tcPr/>
          <w:p>
            <w:pPr>
              <w:pStyle w:val="Compact"/>
            </w:pPr>
            <w:r>
              <w:t xml:space="preserve">15 minutes</w:t>
            </w:r>
          </w:p>
        </w:tc>
      </w:tr>
    </w:tbl>
    <w:p>
      <w:pPr>
        <w:pStyle w:val="BodyText"/>
      </w:pPr>
      <w:r>
        <w:t xml:space="preserve">The three values travel as one string in the DeviceLock</w:t>
      </w:r>
      <w:r>
        <w:t xml:space="preserve"> </w:t>
      </w:r>
      <w:r>
        <w:rPr>
          <w:rStyle w:val="VerbatimChar"/>
        </w:rPr>
        <w:t xml:space="preserve">AccountLockoutPolicy</w:t>
      </w:r>
      <w:r>
        <w:t xml:space="preserve"> </w:t>
      </w:r>
      <w:r>
        <w:t xml:space="preserve">setting, for example</w:t>
      </w:r>
      <w:r>
        <w:t xml:space="preserve"> </w:t>
      </w:r>
      <w:r>
        <w:rPr>
          <w:rStyle w:val="VerbatimChar"/>
        </w:rPr>
        <w:t xml:space="preserve">AccountLockoutDuration:15, AccountLockoutThreshold:10, ResetAccountLockoutCounterAfter:15</w:t>
      </w:r>
      <w:r>
        <w:t xml:space="preserve">, and the setting needs Windows 11, version 22H2 with KB5053657 or version 24H2 and later.</w:t>
      </w:r>
      <w:r>
        <w:rPr>
          <w:rStyle w:val="FootnoteReference"/>
        </w:rPr>
        <w:footnoteReference w:id="90"/>
      </w:r>
      <w:r>
        <w:t xml:space="preserve"> </w:t>
      </w:r>
      <w:r>
        <w:t xml:space="preserve">The source mapped the threshold to</w:t>
      </w:r>
      <w:r>
        <w:t xml:space="preserve"> </w:t>
      </w:r>
      <w:r>
        <w:rPr>
          <w:rStyle w:val="VerbatimChar"/>
        </w:rPr>
        <w:t xml:space="preserve">DeviceLock/MaxDevicePasswordFailedAttempts</w:t>
      </w:r>
      <w:r>
        <w:t xml:space="preserve">, which is a different control. On an Entra-joined device this policy governs local accounts; sign-in lockout for Entra accounts is governed in Entra ID, which</w:t>
      </w:r>
      <w:r>
        <w:t xml:space="preserve"> </w:t>
      </w:r>
      <w:hyperlink r:id="rId92">
        <w:r>
          <w:rPr>
            <w:rStyle w:val="Hyperlink"/>
          </w:rPr>
          <w:t xml:space="preserve">Book 02</w:t>
        </w:r>
      </w:hyperlink>
      <w:r>
        <w:t xml:space="preserve"> </w:t>
      </w:r>
      <w:r>
        <w:t xml:space="preserve">covers.</w:t>
      </w:r>
    </w:p>
    <w:bookmarkEnd w:id="93"/>
    <w:bookmarkStart w:id="94" w:name="audit-policy"/>
    <w:p>
      <w:pPr>
        <w:pStyle w:val="Heading4"/>
      </w:pPr>
      <w:r>
        <w:t xml:space="preserve">Audit policy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GPO path</w:t>
            </w:r>
          </w:p>
        </w:tc>
        <w:tc>
          <w:tcPr/>
          <w:p>
            <w:pPr>
              <w:pStyle w:val="Compact"/>
            </w:pPr>
            <w:r>
              <w:t xml:space="preserve">GPO setting</w:t>
            </w:r>
          </w:p>
        </w:tc>
        <w:tc>
          <w:tcPr/>
          <w:p>
            <w:pPr>
              <w:pStyle w:val="Compact"/>
            </w:pPr>
            <w:r>
              <w:t xml:space="preserve">Settings catalog</w:t>
            </w:r>
          </w:p>
        </w:tc>
        <w:tc>
          <w:tcPr/>
          <w:p>
            <w:pPr>
              <w:pStyle w:val="Compact"/>
            </w:pPr>
            <w:r>
              <w:t xml:space="preserve">Value</w:t>
            </w:r>
          </w:p>
        </w:tc>
      </w:tr>
      <w:tr>
        <w:tc>
          <w:tcPr/>
          <w:p>
            <w:pPr>
              <w:pStyle w:val="Compact"/>
            </w:pPr>
            <w:r>
              <w:t xml:space="preserve">Computer Configuration &gt; Windows Settings &gt; Security Settings &gt; Advanced Audit Policy Configuration &gt; Logon/Logoff</w:t>
            </w:r>
          </w:p>
        </w:tc>
        <w:tc>
          <w:tcPr/>
          <w:p>
            <w:pPr>
              <w:pStyle w:val="Compact"/>
            </w:pPr>
            <w:r>
              <w:t xml:space="preserve">Audit Logon</w:t>
            </w:r>
          </w:p>
        </w:tc>
        <w:tc>
          <w:tcPr/>
          <w:p>
            <w:pPr>
              <w:pStyle w:val="Compact"/>
            </w:pPr>
            <w:r>
              <w:t xml:space="preserve">Auditing &gt; Account Logon Logoff Audit Logon</w:t>
            </w:r>
          </w:p>
        </w:tc>
        <w:tc>
          <w:tcPr/>
          <w:p>
            <w:pPr>
              <w:pStyle w:val="Compact"/>
            </w:pPr>
            <w:r>
              <w:t xml:space="preserve">Success and Failure</w:t>
            </w:r>
          </w:p>
        </w:tc>
      </w:tr>
      <w:tr>
        <w:tc>
          <w:tcPr/>
          <w:p>
            <w:pPr>
              <w:pStyle w:val="Compact"/>
            </w:pPr>
            <w:r>
              <w:t xml:space="preserve">Same &gt; Object Access</w:t>
            </w:r>
          </w:p>
        </w:tc>
        <w:tc>
          <w:tcPr/>
          <w:p>
            <w:pPr>
              <w:pStyle w:val="Compact"/>
            </w:pPr>
            <w:r>
              <w:t xml:space="preserve">Audit File System</w:t>
            </w:r>
          </w:p>
        </w:tc>
        <w:tc>
          <w:tcPr/>
          <w:p>
            <w:pPr>
              <w:pStyle w:val="Compact"/>
            </w:pPr>
            <w:r>
              <w:t xml:space="preserve">Auditing &gt; Object Access Audit File System</w:t>
            </w:r>
          </w:p>
        </w:tc>
        <w:tc>
          <w:tcPr/>
          <w:p>
            <w:pPr>
              <w:pStyle w:val="Compact"/>
            </w:pPr>
            <w:r>
              <w:t xml:space="preserve">Success and Failure</w:t>
            </w:r>
          </w:p>
        </w:tc>
      </w:tr>
      <w:tr>
        <w:tc>
          <w:tcPr/>
          <w:p>
            <w:pPr>
              <w:pStyle w:val="Compact"/>
            </w:pPr>
            <w:r>
              <w:t xml:space="preserve">Same &gt; Policy Change</w:t>
            </w:r>
          </w:p>
        </w:tc>
        <w:tc>
          <w:tcPr/>
          <w:p>
            <w:pPr>
              <w:pStyle w:val="Compact"/>
            </w:pPr>
            <w:r>
              <w:t xml:space="preserve">Audit Policy Change</w:t>
            </w:r>
          </w:p>
        </w:tc>
        <w:tc>
          <w:tcPr/>
          <w:p>
            <w:pPr>
              <w:pStyle w:val="Compact"/>
            </w:pPr>
            <w:r>
              <w:t xml:space="preserve">Auditing &gt; Policy Change Audit Policy Change</w:t>
            </w:r>
          </w:p>
        </w:tc>
        <w:tc>
          <w:tcPr/>
          <w:p>
            <w:pPr>
              <w:pStyle w:val="Compact"/>
            </w:pPr>
            <w:r>
              <w:t xml:space="preserve">Success and Failure</w:t>
            </w:r>
          </w:p>
        </w:tc>
      </w:tr>
      <w:tr>
        <w:tc>
          <w:tcPr/>
          <w:p>
            <w:pPr>
              <w:pStyle w:val="Compact"/>
            </w:pPr>
            <w:r>
              <w:t xml:space="preserve">Same &gt; Privilege Use</w:t>
            </w:r>
          </w:p>
        </w:tc>
        <w:tc>
          <w:tcPr/>
          <w:p>
            <w:pPr>
              <w:pStyle w:val="Compact"/>
            </w:pPr>
            <w:r>
              <w:t xml:space="preserve">Audit Sensitive Privilege Use</w:t>
            </w:r>
          </w:p>
        </w:tc>
        <w:tc>
          <w:tcPr/>
          <w:p>
            <w:pPr>
              <w:pStyle w:val="Compact"/>
            </w:pPr>
            <w:r>
              <w:t xml:space="preserve">Auditing &gt; Privilege Use Audit Sensitive Privilege Use</w:t>
            </w:r>
          </w:p>
        </w:tc>
        <w:tc>
          <w:tcPr/>
          <w:p>
            <w:pPr>
              <w:pStyle w:val="Compact"/>
            </w:pPr>
            <w:r>
              <w:t xml:space="preserve">Success and Failure</w:t>
            </w:r>
          </w:p>
        </w:tc>
      </w:tr>
    </w:tbl>
    <w:bookmarkEnd w:id="94"/>
    <w:bookmarkStart w:id="95" w:name="user-rights-assignment"/>
    <w:p>
      <w:pPr>
        <w:pStyle w:val="Heading4"/>
      </w:pPr>
      <w:r>
        <w:t xml:space="preserve">User rights assignment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GPO path</w:t>
            </w:r>
          </w:p>
        </w:tc>
        <w:tc>
          <w:tcPr/>
          <w:p>
            <w:pPr>
              <w:pStyle w:val="Compact"/>
            </w:pPr>
            <w:r>
              <w:t xml:space="preserve">GPO setting</w:t>
            </w:r>
          </w:p>
        </w:tc>
        <w:tc>
          <w:tcPr/>
          <w:p>
            <w:pPr>
              <w:pStyle w:val="Compact"/>
            </w:pPr>
            <w:r>
              <w:t xml:space="preserve">Settings catalog</w:t>
            </w:r>
          </w:p>
        </w:tc>
        <w:tc>
          <w:tcPr/>
          <w:p>
            <w:pPr>
              <w:pStyle w:val="Compact"/>
            </w:pPr>
            <w:r>
              <w:t xml:space="preserve">Value</w:t>
            </w:r>
          </w:p>
        </w:tc>
      </w:tr>
      <w:tr>
        <w:tc>
          <w:tcPr/>
          <w:p>
            <w:pPr>
              <w:pStyle w:val="Compact"/>
            </w:pPr>
            <w:r>
              <w:t xml:space="preserve">Computer Configuration &gt; Windows Settings &gt; Security Settings &gt; Local Policies &gt; User Rights Assignment</w:t>
            </w:r>
          </w:p>
        </w:tc>
        <w:tc>
          <w:tcPr/>
          <w:p>
            <w:pPr>
              <w:pStyle w:val="Compact"/>
            </w:pPr>
            <w:r>
              <w:t xml:space="preserve">Deny log on locally</w:t>
            </w:r>
          </w:p>
        </w:tc>
        <w:tc>
          <w:tcPr/>
          <w:p>
            <w:pPr>
              <w:pStyle w:val="Compact"/>
            </w:pPr>
            <w:r>
              <w:t xml:space="preserve">User Rights &gt; Deny Local Log On</w:t>
            </w:r>
          </w:p>
        </w:tc>
        <w:tc>
          <w:tcPr/>
          <w:p>
            <w:pPr>
              <w:pStyle w:val="Compact"/>
            </w:pPr>
            <w:r>
              <w:t xml:space="preserve">Guests</w:t>
            </w:r>
          </w:p>
        </w:tc>
      </w:tr>
      <w:tr>
        <w:tc>
          <w:tcPr/>
          <w:p>
            <w:pPr>
              <w:pStyle w:val="Compact"/>
            </w:pPr>
            <w:r>
              <w:t xml:space="preserve">Same</w:t>
            </w:r>
          </w:p>
        </w:tc>
        <w:tc>
          <w:tcPr/>
          <w:p>
            <w:pPr>
              <w:pStyle w:val="Compact"/>
            </w:pPr>
            <w:r>
              <w:t xml:space="preserve">Deny log on through Remote Desktop Services</w:t>
            </w:r>
          </w:p>
        </w:tc>
        <w:tc>
          <w:tcPr/>
          <w:p>
            <w:pPr>
              <w:pStyle w:val="Compact"/>
            </w:pPr>
            <w:r>
              <w:t xml:space="preserve">User Rights &gt; Deny Remote Desktop Services Log On</w:t>
            </w:r>
          </w:p>
        </w:tc>
        <w:tc>
          <w:tcPr/>
          <w:p>
            <w:pPr>
              <w:pStyle w:val="Compact"/>
            </w:pPr>
            <w:r>
              <w:t xml:space="preserve">Guests, local accounts</w:t>
            </w:r>
          </w:p>
        </w:tc>
      </w:tr>
    </w:tbl>
    <w:bookmarkEnd w:id="95"/>
    <w:bookmarkStart w:id="96" w:name="security-options"/>
    <w:p>
      <w:pPr>
        <w:pStyle w:val="Heading4"/>
      </w:pPr>
      <w:r>
        <w:t xml:space="preserve">Security options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GPO path</w:t>
            </w:r>
          </w:p>
        </w:tc>
        <w:tc>
          <w:tcPr/>
          <w:p>
            <w:pPr>
              <w:pStyle w:val="Compact"/>
            </w:pPr>
            <w:r>
              <w:t xml:space="preserve">GPO setting</w:t>
            </w:r>
          </w:p>
        </w:tc>
        <w:tc>
          <w:tcPr/>
          <w:p>
            <w:pPr>
              <w:pStyle w:val="Compact"/>
            </w:pPr>
            <w:r>
              <w:t xml:space="preserve">Settings catalog</w:t>
            </w:r>
          </w:p>
        </w:tc>
        <w:tc>
          <w:tcPr/>
          <w:p>
            <w:pPr>
              <w:pStyle w:val="Compact"/>
            </w:pPr>
            <w:r>
              <w:t xml:space="preserve">Value</w:t>
            </w:r>
          </w:p>
        </w:tc>
      </w:tr>
      <w:tr>
        <w:tc>
          <w:tcPr/>
          <w:p>
            <w:pPr>
              <w:pStyle w:val="Compact"/>
            </w:pPr>
            <w:r>
              <w:t xml:space="preserve">Computer Configuration &gt; Windows Settings &gt; Security Settings &gt; Local Policies &gt; Security Options</w:t>
            </w:r>
          </w:p>
        </w:tc>
        <w:tc>
          <w:tcPr/>
          <w:p>
            <w:pPr>
              <w:pStyle w:val="Compact"/>
            </w:pPr>
            <w:r>
              <w:t xml:space="preserve">Interactive logon: Don’t display last signed-in</w:t>
            </w:r>
          </w:p>
        </w:tc>
        <w:tc>
          <w:tcPr/>
          <w:p>
            <w:pPr>
              <w:pStyle w:val="Compact"/>
            </w:pPr>
            <w:r>
              <w:t xml:space="preserve">Local Policies Security Options &gt; Interactive Logon Do Not Display Last Signed In</w:t>
            </w:r>
          </w:p>
        </w:tc>
        <w:tc>
          <w:tcPr/>
          <w:p>
            <w:pPr>
              <w:pStyle w:val="Compact"/>
            </w:pPr>
            <w:r>
              <w:t xml:space="preserve">Enabled</w:t>
            </w:r>
          </w:p>
        </w:tc>
      </w:tr>
      <w:tr>
        <w:tc>
          <w:tcPr/>
          <w:p>
            <w:pPr>
              <w:pStyle w:val="Compact"/>
            </w:pPr>
            <w:r>
              <w:t xml:space="preserve">Same</w:t>
            </w:r>
          </w:p>
        </w:tc>
        <w:tc>
          <w:tcPr/>
          <w:p>
            <w:pPr>
              <w:pStyle w:val="Compact"/>
            </w:pPr>
            <w:r>
              <w:t xml:space="preserve">Interactive logon: Message text for users attempting to log on</w:t>
            </w:r>
          </w:p>
        </w:tc>
        <w:tc>
          <w:tcPr/>
          <w:p>
            <w:pPr>
              <w:pStyle w:val="Compact"/>
            </w:pPr>
            <w:r>
              <w:t xml:space="preserve">Local Policies Security Options &gt; Interactive Logon Message Text For Users Attempting To Log On</w:t>
            </w:r>
          </w:p>
        </w:tc>
        <w:tc>
          <w:tcPr/>
          <w:p>
            <w:pPr>
              <w:pStyle w:val="Compact"/>
            </w:pPr>
            <w:r>
              <w:t xml:space="preserve">The organization’s approved system use notice</w:t>
            </w:r>
          </w:p>
        </w:tc>
      </w:tr>
      <w:tr>
        <w:tc>
          <w:tcPr/>
          <w:p>
            <w:pPr>
              <w:pStyle w:val="Compact"/>
            </w:pPr>
            <w:r>
              <w:t xml:space="preserve">Same</w:t>
            </w:r>
          </w:p>
        </w:tc>
        <w:tc>
          <w:tcPr/>
          <w:p>
            <w:pPr>
              <w:pStyle w:val="Compact"/>
            </w:pPr>
            <w:r>
              <w:t xml:space="preserve">Interactive logon: Message title for users attempting to log on</w:t>
            </w:r>
          </w:p>
        </w:tc>
        <w:tc>
          <w:tcPr/>
          <w:p>
            <w:pPr>
              <w:pStyle w:val="Compact"/>
            </w:pPr>
            <w:r>
              <w:t xml:space="preserve">Local Policies Security Options &gt; Interactive Logon Message Title For Users Attempting To Log On</w:t>
            </w:r>
          </w:p>
        </w:tc>
        <w:tc>
          <w:tcPr/>
          <w:p>
            <w:pPr>
              <w:pStyle w:val="Compact"/>
            </w:pPr>
            <w:r>
              <w:rPr>
                <w:rStyle w:val="VerbatimChar"/>
              </w:rPr>
              <w:t xml:space="preserve">NOTICE</w:t>
            </w:r>
          </w:p>
        </w:tc>
      </w:tr>
    </w:tbl>
    <w:p>
      <w:pPr>
        <w:pStyle w:val="BodyText"/>
      </w:pPr>
      <w:r>
        <w:t xml:space="preserve">The logon banner text is the organization’s approved notice. The source’s sample text is a placeholder, not approved wording.</w:t>
      </w:r>
    </w:p>
    <w:bookmarkEnd w:id="96"/>
    <w:bookmarkEnd w:id="97"/>
    <w:bookmarkStart w:id="101" w:name="sc-003-microsoft-edge"/>
    <w:p>
      <w:pPr>
        <w:pStyle w:val="Heading3"/>
      </w:pPr>
      <w:r>
        <w:t xml:space="preserve">SC-003: Microsoft Edge</w:t>
      </w:r>
    </w:p>
    <w:p>
      <w:pPr>
        <w:pStyle w:val="FirstParagraph"/>
      </w:pPr>
      <w:r>
        <w:t xml:space="preserve">Replaces GPO-delivered Internet Explorer and legacy Edge settings. The Internet Explorer 11 desktop application isn’t present on Windows 11; sites that still need it open in Edge’s IE mode, which Microsoft supports through at least 2029.</w:t>
      </w:r>
      <w:r>
        <w:rPr>
          <w:rStyle w:val="FootnoteReference"/>
        </w:rPr>
        <w:footnoteReference w:id="98"/>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Settings catalog</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Microsoft Edge &gt; Startup, home page and new tab page</w:t>
            </w:r>
          </w:p>
        </w:tc>
        <w:tc>
          <w:tcPr/>
          <w:p>
            <w:pPr>
              <w:pStyle w:val="Compact"/>
            </w:pPr>
            <w:r>
              <w:t xml:space="preserve">Home page URL</w:t>
            </w:r>
          </w:p>
        </w:tc>
        <w:tc>
          <w:tcPr/>
          <w:p>
            <w:pPr>
              <w:pStyle w:val="Compact"/>
            </w:pPr>
            <w:r>
              <w:t xml:space="preserve">The organization’s portal URL</w:t>
            </w:r>
          </w:p>
        </w:tc>
        <w:tc>
          <w:tcPr/>
          <w:p>
            <w:pPr>
              <w:pStyle w:val="Compact"/>
            </w:pPr>
            <w:r>
              <w:t xml:space="preserve">Computer Configuration &gt; Administrative Templates &gt; Microsoft Edge &gt; Startup, home page and new tab page</w:t>
            </w:r>
          </w:p>
        </w:tc>
      </w:tr>
      <w:tr>
        <w:tc>
          <w:tcPr/>
          <w:p>
            <w:pPr>
              <w:pStyle w:val="Compact"/>
            </w:pPr>
            <w:r>
              <w:t xml:space="preserve">Same</w:t>
            </w:r>
          </w:p>
        </w:tc>
        <w:tc>
          <w:tcPr/>
          <w:p>
            <w:pPr>
              <w:pStyle w:val="Compact"/>
            </w:pPr>
            <w:r>
              <w:t xml:space="preserve">Action to take on startup</w:t>
            </w:r>
          </w:p>
        </w:tc>
        <w:tc>
          <w:tcPr/>
          <w:p>
            <w:pPr>
              <w:pStyle w:val="Compact"/>
            </w:pPr>
            <w:r>
              <w:t xml:space="preserve">Open a list of URLs</w:t>
            </w:r>
          </w:p>
        </w:tc>
        <w:tc>
          <w:tcPr/>
          <w:p>
            <w:pPr>
              <w:pStyle w:val="Compact"/>
            </w:pPr>
            <w:r>
              <w:t xml:space="preserve">Same</w:t>
            </w:r>
          </w:p>
        </w:tc>
      </w:tr>
      <w:tr>
        <w:tc>
          <w:tcPr/>
          <w:p>
            <w:pPr>
              <w:pStyle w:val="Compact"/>
            </w:pPr>
            <w:r>
              <w:t xml:space="preserve">Microsoft Edge &gt; SmartScreen settings</w:t>
            </w:r>
          </w:p>
        </w:tc>
        <w:tc>
          <w:tcPr/>
          <w:p>
            <w:pPr>
              <w:pStyle w:val="Compact"/>
            </w:pPr>
            <w:r>
              <w:t xml:space="preserve">Configure Microsoft Defender SmartScreen</w:t>
            </w:r>
          </w:p>
        </w:tc>
        <w:tc>
          <w:tcPr/>
          <w:p>
            <w:pPr>
              <w:pStyle w:val="Compact"/>
            </w:pPr>
            <w:r>
              <w:t xml:space="preserve">Enabled</w:t>
            </w:r>
          </w:p>
        </w:tc>
        <w:tc>
          <w:tcPr/>
          <w:p>
            <w:pPr>
              <w:pStyle w:val="Compact"/>
            </w:pPr>
            <w:r>
              <w:t xml:space="preserve">Microsoft Edge &gt; SmartScreen settings</w:t>
            </w:r>
          </w:p>
        </w:tc>
      </w:tr>
      <w:tr>
        <w:tc>
          <w:tcPr/>
          <w:p>
            <w:pPr>
              <w:pStyle w:val="Compact"/>
            </w:pPr>
            <w:r>
              <w:t xml:space="preserve">Same</w:t>
            </w:r>
          </w:p>
        </w:tc>
        <w:tc>
          <w:tcPr/>
          <w:p>
            <w:pPr>
              <w:pStyle w:val="Compact"/>
            </w:pPr>
            <w:r>
              <w:t xml:space="preserve">Prevent bypassing Microsoft Defender SmartScreen prompts for sites</w:t>
            </w:r>
          </w:p>
        </w:tc>
        <w:tc>
          <w:tcPr/>
          <w:p>
            <w:pPr>
              <w:pStyle w:val="Compact"/>
            </w:pPr>
            <w:r>
              <w:t xml:space="preserve">Enabled</w:t>
            </w:r>
          </w:p>
        </w:tc>
        <w:tc>
          <w:tcPr/>
          <w:p>
            <w:pPr>
              <w:pStyle w:val="Compact"/>
            </w:pPr>
            <w:r>
              <w:t xml:space="preserve">Same</w:t>
            </w:r>
          </w:p>
        </w:tc>
      </w:tr>
      <w:tr>
        <w:tc>
          <w:tcPr/>
          <w:p>
            <w:pPr>
              <w:pStyle w:val="Compact"/>
            </w:pPr>
            <w:r>
              <w:t xml:space="preserve">Microsoft Edge &gt; Password manager and protection</w:t>
            </w:r>
          </w:p>
        </w:tc>
        <w:tc>
          <w:tcPr/>
          <w:p>
            <w:pPr>
              <w:pStyle w:val="Compact"/>
            </w:pPr>
            <w:r>
              <w:t xml:space="preserve">Enable saving passwords to the password manager</w:t>
            </w:r>
          </w:p>
        </w:tc>
        <w:tc>
          <w:tcPr/>
          <w:p>
            <w:pPr>
              <w:pStyle w:val="Compact"/>
            </w:pPr>
            <w:r>
              <w:t xml:space="preserve">Disabled</w:t>
            </w:r>
          </w:p>
        </w:tc>
        <w:tc>
          <w:tcPr/>
          <w:p>
            <w:pPr>
              <w:pStyle w:val="Compact"/>
            </w:pPr>
            <w:r>
              <w:t xml:space="preserve">Microsoft Edge &gt; Password manager and protection</w:t>
            </w:r>
          </w:p>
        </w:tc>
      </w:tr>
      <w:tr>
        <w:tc>
          <w:tcPr/>
          <w:p>
            <w:pPr>
              <w:pStyle w:val="Compact"/>
            </w:pPr>
            <w:r>
              <w:t xml:space="preserve">Microsoft Edge &gt; Extensions</w:t>
            </w:r>
          </w:p>
        </w:tc>
        <w:tc>
          <w:tcPr/>
          <w:p>
            <w:pPr>
              <w:pStyle w:val="Compact"/>
            </w:pPr>
            <w:r>
              <w:t xml:space="preserve">Control which extensions cannot be installed</w:t>
            </w:r>
          </w:p>
        </w:tc>
        <w:tc>
          <w:tcPr/>
          <w:p>
            <w:pPr>
              <w:pStyle w:val="Compact"/>
            </w:pPr>
            <w:r>
              <w:rPr>
                <w:rStyle w:val="VerbatimChar"/>
              </w:rPr>
              <w:t xml:space="preserve">*</w:t>
            </w:r>
            <w:r>
              <w:t xml:space="preserve"> </w:t>
            </w:r>
            <w:r>
              <w:t xml:space="preserve">(block all not allowed)</w:t>
            </w:r>
          </w:p>
        </w:tc>
        <w:tc>
          <w:tcPr/>
          <w:p>
            <w:pPr>
              <w:pStyle w:val="Compact"/>
            </w:pPr>
            <w:r>
              <w:t xml:space="preserve">Microsoft Edge &gt; Extensions</w:t>
            </w:r>
          </w:p>
        </w:tc>
      </w:tr>
      <w:tr>
        <w:tc>
          <w:tcPr/>
          <w:p>
            <w:pPr>
              <w:pStyle w:val="Compact"/>
            </w:pPr>
            <w:r>
              <w:t xml:space="preserve">Same</w:t>
            </w:r>
          </w:p>
        </w:tc>
        <w:tc>
          <w:tcPr/>
          <w:p>
            <w:pPr>
              <w:pStyle w:val="Compact"/>
            </w:pPr>
            <w:r>
              <w:t xml:space="preserve">Allow specific extensions to be installed</w:t>
            </w:r>
          </w:p>
        </w:tc>
        <w:tc>
          <w:tcPr/>
          <w:p>
            <w:pPr>
              <w:pStyle w:val="Compact"/>
            </w:pPr>
            <w:r>
              <w:t xml:space="preserve">Organization-approved extension IDs</w:t>
            </w:r>
          </w:p>
        </w:tc>
        <w:tc>
          <w:tcPr/>
          <w:p>
            <w:pPr>
              <w:pStyle w:val="Compact"/>
            </w:pPr>
            <w:r>
              <w:t xml:space="preserve">Same</w:t>
            </w:r>
          </w:p>
        </w:tc>
      </w:tr>
      <w:tr>
        <w:tc>
          <w:tcPr/>
          <w:p>
            <w:pPr>
              <w:pStyle w:val="Compact"/>
            </w:pPr>
            <w:r>
              <w:t xml:space="preserve">Microsoft Edge &gt; Proxy server</w:t>
            </w:r>
          </w:p>
        </w:tc>
        <w:tc>
          <w:tcPr/>
          <w:p>
            <w:pPr>
              <w:pStyle w:val="Compact"/>
            </w:pPr>
            <w:r>
              <w:t xml:space="preserve">Proxy settings</w:t>
            </w:r>
          </w:p>
        </w:tc>
        <w:tc>
          <w:tcPr/>
          <w:p>
            <w:pPr>
              <w:pStyle w:val="Compact"/>
            </w:pPr>
            <w:r>
              <w:t xml:space="preserve">System proxy or PAC file URL</w:t>
            </w:r>
          </w:p>
        </w:tc>
        <w:tc>
          <w:tcPr/>
          <w:p>
            <w:pPr>
              <w:pStyle w:val="Compact"/>
            </w:pPr>
            <w:r>
              <w:t xml:space="preserve">Microsoft Edge &gt; Proxy server</w:t>
            </w:r>
          </w:p>
        </w:tc>
      </w:tr>
      <w:tr>
        <w:tc>
          <w:tcPr/>
          <w:p>
            <w:pPr>
              <w:pStyle w:val="Compact"/>
            </w:pPr>
            <w:r>
              <w:t xml:space="preserve">Microsoft Edge</w:t>
            </w:r>
          </w:p>
        </w:tc>
        <w:tc>
          <w:tcPr/>
          <w:p>
            <w:pPr>
              <w:pStyle w:val="Compact"/>
            </w:pPr>
            <w:r>
              <w:t xml:space="preserve">Allow download restrictions</w:t>
            </w:r>
          </w:p>
        </w:tc>
        <w:tc>
          <w:tcPr/>
          <w:p>
            <w:pPr>
              <w:pStyle w:val="Compact"/>
            </w:pPr>
            <w:r>
              <w:t xml:space="preserve">Block dangerous downloads</w:t>
            </w:r>
          </w:p>
        </w:tc>
        <w:tc>
          <w:tcPr/>
          <w:p>
            <w:pPr>
              <w:pStyle w:val="Compact"/>
            </w:pPr>
            <w:r>
              <w:t xml:space="preserve">Microsoft Edge</w:t>
            </w:r>
          </w:p>
        </w:tc>
      </w:tr>
      <w:tr>
        <w:tc>
          <w:tcPr/>
          <w:p>
            <w:pPr>
              <w:pStyle w:val="Compact"/>
            </w:pPr>
            <w:r>
              <w:t xml:space="preserve">Microsoft Edge</w:t>
            </w:r>
          </w:p>
        </w:tc>
        <w:tc>
          <w:tcPr/>
          <w:p>
            <w:pPr>
              <w:pStyle w:val="Compact"/>
            </w:pPr>
            <w:r>
              <w:t xml:space="preserve">Configure Internet Explorer integration</w:t>
            </w:r>
          </w:p>
        </w:tc>
        <w:tc>
          <w:tcPr/>
          <w:p>
            <w:pPr>
              <w:pStyle w:val="Compact"/>
            </w:pPr>
            <w:r>
              <w:t xml:space="preserve">Internet Explorer mode, with the enterprise site list</w:t>
            </w:r>
          </w:p>
        </w:tc>
        <w:tc>
          <w:tcPr/>
          <w:p>
            <w:pPr>
              <w:pStyle w:val="Compact"/>
            </w:pPr>
            <w:r>
              <w:t xml:space="preserve">Internet Explorer settings (retired)</w:t>
            </w:r>
          </w:p>
        </w:tc>
      </w:tr>
    </w:tbl>
    <w:bookmarkEnd w:id="101"/>
    <w:bookmarkStart w:id="107" w:name="sc-004-onedrive"/>
    <w:p>
      <w:pPr>
        <w:pStyle w:val="Heading3"/>
      </w:pPr>
      <w:r>
        <w:t xml:space="preserve">SC-004: OneDrive</w:t>
      </w:r>
    </w:p>
    <w:p>
      <w:pPr>
        <w:pStyle w:val="FirstParagraph"/>
      </w:pPr>
      <w:r>
        <w:t xml:space="preserve">Replaces GPO Folder Redirection and logon-script drive maps with OneDrive Known Folder Move and Files On-Demand.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Settings catalog</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OneDrive</w:t>
            </w:r>
          </w:p>
        </w:tc>
        <w:tc>
          <w:tcPr/>
          <w:p>
            <w:pPr>
              <w:pStyle w:val="Compact"/>
            </w:pPr>
            <w:r>
              <w:t xml:space="preserve">Silently move Windows known folders to OneDrive</w:t>
            </w:r>
          </w:p>
        </w:tc>
        <w:tc>
          <w:tcPr/>
          <w:p>
            <w:pPr>
              <w:pStyle w:val="Compact"/>
            </w:pPr>
            <w:r>
              <w:t xml:space="preserve">Enabled, with the tenant ID</w:t>
            </w:r>
          </w:p>
        </w:tc>
        <w:tc>
          <w:tcPr/>
          <w:p>
            <w:pPr>
              <w:pStyle w:val="Compact"/>
            </w:pPr>
            <w:r>
              <w:t xml:space="preserve">Computer Configuration &gt; Administrative Templates &gt; OneDrive</w:t>
            </w:r>
          </w:p>
        </w:tc>
      </w:tr>
      <w:tr>
        <w:tc>
          <w:tcPr/>
          <w:p>
            <w:pPr>
              <w:pStyle w:val="Compact"/>
            </w:pPr>
            <w:r>
              <w:t xml:space="preserve">OneDrive</w:t>
            </w:r>
          </w:p>
        </w:tc>
        <w:tc>
          <w:tcPr/>
          <w:p>
            <w:pPr>
              <w:pStyle w:val="Compact"/>
            </w:pPr>
            <w:r>
              <w:t xml:space="preserve">Known folders: Desktop, Documents, Pictures</w:t>
            </w:r>
          </w:p>
        </w:tc>
        <w:tc>
          <w:tcPr/>
          <w:p>
            <w:pPr>
              <w:pStyle w:val="Compact"/>
            </w:pPr>
            <w:r>
              <w:t xml:space="preserve">Move</w:t>
            </w:r>
          </w:p>
        </w:tc>
        <w:tc>
          <w:tcPr/>
          <w:p>
            <w:pPr>
              <w:pStyle w:val="Compact"/>
            </w:pPr>
            <w:r>
              <w:t xml:space="preserve">User Configuration &gt; Windows Settings &gt; Folder Redirection</w:t>
            </w:r>
          </w:p>
        </w:tc>
      </w:tr>
      <w:tr>
        <w:tc>
          <w:tcPr/>
          <w:p>
            <w:pPr>
              <w:pStyle w:val="Compact"/>
            </w:pPr>
            <w:r>
              <w:t xml:space="preserve">OneDrive</w:t>
            </w:r>
          </w:p>
        </w:tc>
        <w:tc>
          <w:tcPr/>
          <w:p>
            <w:pPr>
              <w:pStyle w:val="Compact"/>
            </w:pPr>
            <w:r>
              <w:t xml:space="preserve">Prompt users to move Windows known folders to OneDrive</w:t>
            </w:r>
          </w:p>
        </w:tc>
        <w:tc>
          <w:tcPr/>
          <w:p>
            <w:pPr>
              <w:pStyle w:val="Compact"/>
            </w:pPr>
            <w:r>
              <w:t xml:space="preserve">Enabled</w:t>
            </w:r>
          </w:p>
        </w:tc>
        <w:tc>
          <w:tcPr/>
          <w:p>
            <w:pPr>
              <w:pStyle w:val="Compact"/>
            </w:pPr>
            <w:r>
              <w:t xml:space="preserve">None</w:t>
            </w:r>
          </w:p>
        </w:tc>
      </w:tr>
      <w:tr>
        <w:tc>
          <w:tcPr/>
          <w:p>
            <w:pPr>
              <w:pStyle w:val="Compact"/>
            </w:pPr>
            <w:r>
              <w:t xml:space="preserve">OneDrive</w:t>
            </w:r>
          </w:p>
        </w:tc>
        <w:tc>
          <w:tcPr/>
          <w:p>
            <w:pPr>
              <w:pStyle w:val="Compact"/>
            </w:pPr>
            <w:r>
              <w:t xml:space="preserve">Use OneDrive Files On-Demand</w:t>
            </w:r>
          </w:p>
        </w:tc>
        <w:tc>
          <w:tcPr/>
          <w:p>
            <w:pPr>
              <w:pStyle w:val="Compact"/>
            </w:pPr>
            <w:r>
              <w:t xml:space="preserve">Enabled</w:t>
            </w:r>
          </w:p>
        </w:tc>
        <w:tc>
          <w:tcPr/>
          <w:p>
            <w:pPr>
              <w:pStyle w:val="Compact"/>
            </w:pPr>
            <w:r>
              <w:t xml:space="preserve">None (new capability)</w:t>
            </w:r>
          </w:p>
        </w:tc>
      </w:tr>
      <w:tr>
        <w:tc>
          <w:tcPr/>
          <w:p>
            <w:pPr>
              <w:pStyle w:val="Compact"/>
            </w:pPr>
            <w:r>
              <w:t xml:space="preserve">OneDrive</w:t>
            </w:r>
          </w:p>
        </w:tc>
        <w:tc>
          <w:tcPr/>
          <w:p>
            <w:pPr>
              <w:pStyle w:val="Compact"/>
            </w:pPr>
            <w:r>
              <w:t xml:space="preserve">Limit the sync app upload rate to a percentage of throughput</w:t>
            </w:r>
          </w:p>
        </w:tc>
        <w:tc>
          <w:tcPr/>
          <w:p>
            <w:pPr>
              <w:pStyle w:val="Compact"/>
            </w:pPr>
            <w:r>
              <w:t xml:space="preserve">70% during the move, then off</w:t>
            </w:r>
          </w:p>
        </w:tc>
        <w:tc>
          <w:tcPr/>
          <w:p>
            <w:pPr>
              <w:pStyle w:val="Compact"/>
            </w:pPr>
            <w:r>
              <w:t xml:space="preserve">None</w:t>
            </w:r>
          </w:p>
        </w:tc>
      </w:tr>
      <w:tr>
        <w:tc>
          <w:tcPr/>
          <w:p>
            <w:pPr>
              <w:pStyle w:val="Compact"/>
            </w:pPr>
            <w:r>
              <w:t xml:space="preserve">OneDrive</w:t>
            </w:r>
          </w:p>
        </w:tc>
        <w:tc>
          <w:tcPr/>
          <w:p>
            <w:pPr>
              <w:pStyle w:val="Compact"/>
            </w:pPr>
            <w:r>
              <w:t xml:space="preserve">Prevent users from syncing personal OneDrive accounts</w:t>
            </w:r>
          </w:p>
        </w:tc>
        <w:tc>
          <w:tcPr/>
          <w:p>
            <w:pPr>
              <w:pStyle w:val="Compact"/>
            </w:pPr>
            <w:r>
              <w:t xml:space="preserve">Enabled</w:t>
            </w:r>
          </w:p>
        </w:tc>
        <w:tc>
          <w:tcPr/>
          <w:p>
            <w:pPr>
              <w:pStyle w:val="Compact"/>
            </w:pPr>
            <w:r>
              <w:t xml:space="preserve">Computer Configuration &gt; Administrative Templates &gt; OneDrive</w:t>
            </w:r>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3" name="Picture"/>
                  <a:graphic>
                    <a:graphicData uri="http://schemas.openxmlformats.org/drawingml/2006/picture">
                      <pic:pic>
                        <pic:nvPicPr>
                          <pic:cNvPr descr="/opt/quarto/share/formats/docx/important.png" id="104" name="Picture"/>
                          <pic:cNvPicPr>
                            <a:picLocks noChangeArrowheads="1" noChangeAspect="1"/>
                          </pic:cNvPicPr>
                        </pic:nvPicPr>
                        <pic:blipFill>
                          <a:blip r:embed="rId10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Folder Redirection to a file share doesn’t move by itself</w:t>
            </w:r>
          </w:p>
        </w:tc>
      </w:tr>
      <w:tr>
        <w:trPr>
          <w:cantSplit/>
        </w:trPr>
        <w:tc>
          <w:tcPr>
            <w:tcMar>
              <w:top w:w="108" w:type="dxa"/>
              <w:bottom w:w="108" w:type="dxa"/>
            </w:tcMar>
          </w:tcPr>
          <w:p>
            <w:pPr>
              <w:pStyle w:val="BodyText"/>
            </w:pPr>
            <w:pPr>
              <w:spacing w:before="16" w:after="16"/>
            </w:pPr>
            <w:r>
              <w:t xml:space="preserve">The source said Known Folder Move would carry redirected folders from the network share into OneDrive. It doesn’t. Known Folder Move doesn’t work while Windows Folder Redirection still points Documents, Pictures or Desktop somewhere other than OneDrive. Where the folders are redirected to a network share, Microsoft’s sequence is: copy the share contents into each user’s OneDrive with Migration Manager, disable the Folder Redirection policy while leaving the content on the share, then enable Known Folder Move, which merges with the copied folders. Microsoft also recommends moving no more than 1,000 existing devices a day, and 4,000 a week, with the silent policy.</w:t>
            </w:r>
            <w:r>
              <w:rPr>
                <w:rStyle w:val="FootnoteReference"/>
              </w:rPr>
              <w:footnoteReference w:id="105"/>
            </w:r>
            <w:r>
              <w:t xml:space="preserve"> </w:t>
            </w:r>
            <w:r>
              <w:t xml:space="preserve">Provision OneDrive storage before the move. Replace</w:t>
            </w:r>
            <w:r>
              <w:t xml:space="preserve"> </w:t>
            </w:r>
            <w:r>
              <w:rPr>
                <w:rStyle w:val="VerbatimChar"/>
              </w:rPr>
              <w:t xml:space="preserve">net use</w:t>
            </w:r>
            <w:r>
              <w:t xml:space="preserve"> </w:t>
            </w:r>
            <w:r>
              <w:t xml:space="preserve">drive-map logon scripts with SharePoint libraries and OneDrive shortcuts.</w:t>
            </w:r>
          </w:p>
          <w:p/>
        </w:tc>
      </w:tr>
    </w:tbl>
    <w:bookmarkEnd w:id="107"/>
    <w:bookmarkStart w:id="113" w:name="sc-005-windows-updates"/>
    <w:p>
      <w:pPr>
        <w:pStyle w:val="Heading3"/>
      </w:pPr>
      <w:r>
        <w:t xml:space="preserve">SC-005: Windows updates</w:t>
      </w:r>
    </w:p>
    <w:p>
      <w:pPr>
        <w:pStyle w:val="FirstParagraph"/>
      </w:pPr>
      <w:r>
        <w:t xml:space="preserve">Replaces WSUS-targeting GPOs with Windows Update client policies (the current name for what the source called Windows Update for Business policies), delivered as an Intune update ring.</w:t>
      </w:r>
    </w:p>
    <w:p>
      <w:pPr>
        <w:pStyle w:val="BodyText"/>
      </w:pPr>
      <w:r>
        <w:rPr>
          <w:b/>
          <w:bCs/>
        </w:rPr>
        <w:t xml:space="preserve">GPO equivalent:</w:t>
      </w:r>
      <w:r>
        <w:t xml:space="preserve"> </w:t>
      </w:r>
      <w:r>
        <w:t xml:space="preserve">Computer Configuration &gt; Administrative Templates &gt; Windows Components &gt; Windows Update.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Notes</w:t>
            </w:r>
          </w:p>
        </w:tc>
      </w:tr>
      <w:tr>
        <w:tc>
          <w:tcPr/>
          <w:p>
            <w:pPr>
              <w:pStyle w:val="Compact"/>
            </w:pPr>
            <w:r>
              <w:t xml:space="preserve">Quality update deferral period (days)</w:t>
            </w:r>
          </w:p>
        </w:tc>
        <w:tc>
          <w:tcPr/>
          <w:p>
            <w:pPr>
              <w:pStyle w:val="Compact"/>
            </w:pPr>
            <w:r>
              <w:t xml:space="preserve">7</w:t>
            </w:r>
          </w:p>
        </w:tc>
        <w:tc>
          <w:tcPr/>
          <w:p>
            <w:pPr>
              <w:pStyle w:val="Compact"/>
            </w:pPr>
            <w:r>
              <w:t xml:space="preserve">Range 0–30</w:t>
            </w:r>
            <w:r>
              <w:rPr>
                <w:rStyle w:val="FootnoteReference"/>
              </w:rPr>
              <w:footnoteReference w:id="108"/>
            </w:r>
          </w:p>
        </w:tc>
      </w:tr>
      <w:tr>
        <w:tc>
          <w:tcPr/>
          <w:p>
            <w:pPr>
              <w:pStyle w:val="Compact"/>
            </w:pPr>
            <w:r>
              <w:t xml:space="preserve">Feature update deferral period (days)</w:t>
            </w:r>
          </w:p>
        </w:tc>
        <w:tc>
          <w:tcPr/>
          <w:p>
            <w:pPr>
              <w:pStyle w:val="Compact"/>
            </w:pPr>
            <w:r>
              <w:t xml:space="preserve">0</w:t>
            </w:r>
          </w:p>
        </w:tc>
        <w:tc>
          <w:tcPr/>
          <w:p>
            <w:pPr>
              <w:pStyle w:val="Compact"/>
            </w:pPr>
            <w:r>
              <w:t xml:space="preserve">A feature update policy pins the version instead; the source’s 30-day deferral applies only without one</w:t>
            </w:r>
          </w:p>
        </w:tc>
      </w:tr>
      <w:tr>
        <w:tc>
          <w:tcPr/>
          <w:p>
            <w:pPr>
              <w:pStyle w:val="Compact"/>
            </w:pPr>
            <w:r>
              <w:t xml:space="preserve">Windows drivers</w:t>
            </w:r>
          </w:p>
        </w:tc>
        <w:tc>
          <w:tcPr/>
          <w:p>
            <w:pPr>
              <w:pStyle w:val="Compact"/>
            </w:pPr>
            <w:r>
              <w:t xml:space="preserve">Allow</w:t>
            </w:r>
          </w:p>
        </w:tc>
        <w:tc>
          <w:tcPr/>
          <w:p>
            <w:pPr>
              <w:pStyle w:val="Compact"/>
            </w:pPr>
            <w:r>
              <w:t xml:space="preserve">Driver approvals in Chapter 10</w:t>
            </w:r>
          </w:p>
        </w:tc>
      </w:tr>
      <w:tr>
        <w:tc>
          <w:tcPr/>
          <w:p>
            <w:pPr>
              <w:pStyle w:val="Compact"/>
            </w:pPr>
            <w:r>
              <w:t xml:space="preserve">Delivery Optimization download mode</w:t>
            </w:r>
          </w:p>
        </w:tc>
        <w:tc>
          <w:tcPr/>
          <w:p>
            <w:pPr>
              <w:pStyle w:val="Compact"/>
            </w:pPr>
            <w:r>
              <w:t xml:space="preserve">1 (HTTP blended with peering behind the same NAT)</w:t>
            </w:r>
          </w:p>
        </w:tc>
        <w:tc>
          <w:tcPr/>
          <w:p>
            <w:pPr>
              <w:pStyle w:val="Compact"/>
            </w:pPr>
            <w:r>
              <w:rPr>
                <w:rStyle w:val="FootnoteReference"/>
              </w:rPr>
              <w:footnoteReference w:id="110"/>
            </w:r>
          </w:p>
        </w:tc>
      </w:tr>
      <w:tr>
        <w:tc>
          <w:tcPr/>
          <w:p>
            <w:pPr>
              <w:pStyle w:val="Compact"/>
            </w:pPr>
            <w:r>
              <w:t xml:space="preserve">Active hours</w:t>
            </w:r>
          </w:p>
        </w:tc>
        <w:tc>
          <w:tcPr/>
          <w:p>
            <w:pPr>
              <w:pStyle w:val="Compact"/>
            </w:pPr>
            <w:r>
              <w:t xml:space="preserve">07:00 to 19:00</w:t>
            </w:r>
          </w:p>
        </w:tc>
        <w:tc>
          <w:tcPr/>
          <w:p>
            <w:pPr>
              <w:pStyle w:val="Compact"/>
            </w:pPr>
            <w:r>
              <w:t xml:space="preserve">—</w:t>
            </w:r>
          </w:p>
        </w:tc>
      </w:tr>
      <w:tr>
        <w:tc>
          <w:tcPr/>
          <w:p>
            <w:pPr>
              <w:pStyle w:val="Compact"/>
            </w:pPr>
            <w:r>
              <w:t xml:space="preserve">Use deadline settings</w:t>
            </w:r>
          </w:p>
        </w:tc>
        <w:tc>
          <w:tcPr/>
          <w:p>
            <w:pPr>
              <w:pStyle w:val="Compact"/>
            </w:pPr>
            <w:r>
              <w:t xml:space="preserve">Allow</w:t>
            </w:r>
          </w:p>
        </w:tc>
        <w:tc>
          <w:tcPr/>
          <w:p>
            <w:pPr>
              <w:pStyle w:val="Compact"/>
            </w:pPr>
            <w:r>
              <w:t xml:space="preserve">—</w:t>
            </w:r>
          </w:p>
        </w:tc>
      </w:tr>
      <w:tr>
        <w:tc>
          <w:tcPr/>
          <w:p>
            <w:pPr>
              <w:pStyle w:val="Compact"/>
            </w:pPr>
            <w:r>
              <w:t xml:space="preserve">Deadline for quality updates (days)</w:t>
            </w:r>
          </w:p>
        </w:tc>
        <w:tc>
          <w:tcPr/>
          <w:p>
            <w:pPr>
              <w:pStyle w:val="Compact"/>
            </w:pPr>
            <w:r>
              <w:t xml:space="preserve">7</w:t>
            </w:r>
          </w:p>
        </w:tc>
        <w:tc>
          <w:tcPr/>
          <w:p>
            <w:pPr>
              <w:pStyle w:val="Compact"/>
            </w:pPr>
            <w:r>
              <w:t xml:space="preserve">Range 2–30</w:t>
            </w:r>
            <w:r>
              <w:rPr>
                <w:rStyle w:val="FootnoteReference"/>
              </w:rPr>
              <w:footnoteReference w:id="112"/>
            </w:r>
          </w:p>
        </w:tc>
      </w:tr>
      <w:tr>
        <w:tc>
          <w:tcPr/>
          <w:p>
            <w:pPr>
              <w:pStyle w:val="Compact"/>
            </w:pPr>
            <w:r>
              <w:t xml:space="preserve">Deadline for feature updates (days)</w:t>
            </w:r>
          </w:p>
        </w:tc>
        <w:tc>
          <w:tcPr/>
          <w:p>
            <w:pPr>
              <w:pStyle w:val="Compact"/>
            </w:pPr>
            <w:r>
              <w:t xml:space="preserve">14</w:t>
            </w:r>
          </w:p>
        </w:tc>
        <w:tc>
          <w:tcPr/>
          <w:p>
            <w:pPr>
              <w:pStyle w:val="Compact"/>
            </w:pPr>
            <w:r>
              <w:t xml:space="preserve">Range 2–30</w:t>
            </w:r>
          </w:p>
        </w:tc>
      </w:tr>
      <w:tr>
        <w:tc>
          <w:tcPr/>
          <w:p>
            <w:pPr>
              <w:pStyle w:val="Compact"/>
            </w:pPr>
            <w:r>
              <w:t xml:space="preserve">Grace period (days)</w:t>
            </w:r>
          </w:p>
        </w:tc>
        <w:tc>
          <w:tcPr/>
          <w:p>
            <w:pPr>
              <w:pStyle w:val="Compact"/>
            </w:pPr>
            <w:r>
              <w:t xml:space="preserve">2</w:t>
            </w:r>
          </w:p>
        </w:tc>
        <w:tc>
          <w:tcPr/>
          <w:p>
            <w:pPr>
              <w:pStyle w:val="Compact"/>
            </w:pPr>
            <w:r>
              <w:t xml:space="preserve">Range 0–7; replaces the source’s separate 48-hour auto-restart setting</w:t>
            </w:r>
          </w:p>
        </w:tc>
      </w:tr>
    </w:tbl>
    <w:p>
      <w:pPr>
        <w:pStyle w:val="BodyText"/>
      </w:pPr>
      <w:hyperlink r:id="rId38">
        <w:r>
          <w:rPr>
            <w:rStyle w:val="Hyperlink"/>
          </w:rPr>
          <w:t xml:space="preserve">Chapter 10</w:t>
        </w:r>
      </w:hyperlink>
      <w:r>
        <w:t xml:space="preserve"> </w:t>
      </w:r>
      <w:r>
        <w:t xml:space="preserve">sets these per ring and covers Windows Autopatch, which can create and maintain the rings itself.</w:t>
      </w:r>
    </w:p>
    <w:bookmarkEnd w:id="113"/>
    <w:bookmarkStart w:id="114" w:name="sc-009-remote-desktop"/>
    <w:p>
      <w:pPr>
        <w:pStyle w:val="Heading3"/>
      </w:pPr>
      <w:r>
        <w:t xml:space="preserve">SC-009: Remote Desktop</w:t>
      </w:r>
    </w:p>
    <w:p>
      <w:pPr>
        <w:pStyle w:val="FirstParagraph"/>
      </w:pPr>
      <w:r>
        <w:rPr>
          <w:b/>
          <w:bCs/>
        </w:rPr>
        <w:t xml:space="preserve">Group:</w:t>
      </w:r>
      <w:r>
        <w:t xml:space="preserve"> </w:t>
      </w:r>
      <w:r>
        <w:rPr>
          <w:rStyle w:val="VerbatimChar"/>
        </w:rPr>
        <w:t xml:space="preserve">extensionAttribute11</w:t>
      </w:r>
      <w:r>
        <w:t xml:space="preserve"> </w:t>
      </w:r>
      <w:r>
        <w:t xml:space="preserve">equals</w:t>
      </w:r>
      <w:r>
        <w:t xml:space="preserve"> </w:t>
      </w:r>
      <w:r>
        <w:rPr>
          <w:rStyle w:val="VerbatimChar"/>
        </w:rPr>
        <w:t xml:space="preserve">Tier0</w:t>
      </w:r>
      <w:r>
        <w:t xml:space="preserve"> </w:t>
      </w:r>
      <w:r>
        <w:t xml:space="preserve">or</w:t>
      </w:r>
      <w:r>
        <w:t xml:space="preserve"> </w:t>
      </w:r>
      <w:r>
        <w:rPr>
          <w:rStyle w:val="VerbatimChar"/>
        </w:rPr>
        <w:t xml:space="preserve">Tier1</w:t>
      </w:r>
      <w:r>
        <w:t xml:space="preserve">.</w:t>
      </w:r>
      <w:r>
        <w:t xml:space="preserve"> </w:t>
      </w:r>
      <w:r>
        <w:rPr>
          <w:b/>
          <w:bCs/>
        </w:rPr>
        <w:t xml:space="preserve">GPO equivalent:</w:t>
      </w:r>
      <w:r>
        <w:t xml:space="preserve"> </w:t>
      </w:r>
      <w:r>
        <w:t xml:space="preserve">Computer Configuration &gt; Administrative Templates &gt; Windows Components &gt; Remote Desktop Services.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Settings catalog</w:t>
            </w:r>
          </w:p>
        </w:tc>
        <w:tc>
          <w:tcPr/>
          <w:p>
            <w:pPr>
              <w:pStyle w:val="Compact"/>
            </w:pPr>
            <w:r>
              <w:t xml:space="preserve">Setting</w:t>
            </w:r>
          </w:p>
        </w:tc>
        <w:tc>
          <w:tcPr/>
          <w:p>
            <w:pPr>
              <w:pStyle w:val="Compact"/>
            </w:pPr>
            <w:r>
              <w:t xml:space="preserve">Value</w:t>
            </w:r>
          </w:p>
        </w:tc>
      </w:tr>
      <w:tr>
        <w:tc>
          <w:tcPr/>
          <w:p>
            <w:pPr>
              <w:pStyle w:val="Compact"/>
            </w:pPr>
            <w:r>
              <w:t xml:space="preserve">Remote Desktop Services &gt; Connections</w:t>
            </w:r>
          </w:p>
        </w:tc>
        <w:tc>
          <w:tcPr/>
          <w:p>
            <w:pPr>
              <w:pStyle w:val="Compact"/>
            </w:pPr>
            <w:r>
              <w:t xml:space="preserve">Allow users to connect remotely</w:t>
            </w:r>
          </w:p>
        </w:tc>
        <w:tc>
          <w:tcPr/>
          <w:p>
            <w:pPr>
              <w:pStyle w:val="Compact"/>
            </w:pPr>
            <w:r>
              <w:t xml:space="preserve">Enabled</w:t>
            </w:r>
          </w:p>
        </w:tc>
      </w:tr>
      <w:tr>
        <w:tc>
          <w:tcPr/>
          <w:p>
            <w:pPr>
              <w:pStyle w:val="Compact"/>
            </w:pPr>
            <w:r>
              <w:t xml:space="preserve">Remote Desktop Services &gt; Security</w:t>
            </w:r>
          </w:p>
        </w:tc>
        <w:tc>
          <w:tcPr/>
          <w:p>
            <w:pPr>
              <w:pStyle w:val="Compact"/>
            </w:pPr>
            <w:r>
              <w:t xml:space="preserve">Require user authentication for remote connections by using Network Level Authentication</w:t>
            </w:r>
          </w:p>
        </w:tc>
        <w:tc>
          <w:tcPr/>
          <w:p>
            <w:pPr>
              <w:pStyle w:val="Compact"/>
            </w:pPr>
            <w:r>
              <w:t xml:space="preserve">Enabled</w:t>
            </w:r>
          </w:p>
        </w:tc>
      </w:tr>
      <w:tr>
        <w:tc>
          <w:tcPr/>
          <w:p>
            <w:pPr>
              <w:pStyle w:val="Compact"/>
            </w:pPr>
            <w:r>
              <w:t xml:space="preserve">Remote Desktop Services &gt; Security</w:t>
            </w:r>
          </w:p>
        </w:tc>
        <w:tc>
          <w:tcPr/>
          <w:p>
            <w:pPr>
              <w:pStyle w:val="Compact"/>
            </w:pPr>
            <w:r>
              <w:t xml:space="preserve">Set client connection encryption level</w:t>
            </w:r>
          </w:p>
        </w:tc>
        <w:tc>
          <w:tcPr/>
          <w:p>
            <w:pPr>
              <w:pStyle w:val="Compact"/>
            </w:pPr>
            <w:r>
              <w:t xml:space="preserve">High</w:t>
            </w:r>
          </w:p>
        </w:tc>
      </w:tr>
      <w:tr>
        <w:tc>
          <w:tcPr/>
          <w:p>
            <w:pPr>
              <w:pStyle w:val="Compact"/>
            </w:pPr>
            <w:r>
              <w:t xml:space="preserve">Remote Desktop Services &gt; Session Time Limits</w:t>
            </w:r>
          </w:p>
        </w:tc>
        <w:tc>
          <w:tcPr/>
          <w:p>
            <w:pPr>
              <w:pStyle w:val="Compact"/>
            </w:pPr>
            <w:r>
              <w:t xml:space="preserve">Set time limit for active but idle sessions</w:t>
            </w:r>
          </w:p>
        </w:tc>
        <w:tc>
          <w:tcPr/>
          <w:p>
            <w:pPr>
              <w:pStyle w:val="Compact"/>
            </w:pPr>
            <w:r>
              <w:t xml:space="preserve">15 minutes</w:t>
            </w:r>
          </w:p>
        </w:tc>
      </w:tr>
      <w:tr>
        <w:tc>
          <w:tcPr/>
          <w:p>
            <w:pPr>
              <w:pStyle w:val="Compact"/>
            </w:pPr>
            <w:r>
              <w:t xml:space="preserve">Same</w:t>
            </w:r>
          </w:p>
        </w:tc>
        <w:tc>
          <w:tcPr/>
          <w:p>
            <w:pPr>
              <w:pStyle w:val="Compact"/>
            </w:pPr>
            <w:r>
              <w:t xml:space="preserve">Set time limit for active sessions</w:t>
            </w:r>
          </w:p>
        </w:tc>
        <w:tc>
          <w:tcPr/>
          <w:p>
            <w:pPr>
              <w:pStyle w:val="Compact"/>
            </w:pPr>
            <w:r>
              <w:t xml:space="preserve">4 hours</w:t>
            </w:r>
          </w:p>
        </w:tc>
      </w:tr>
      <w:tr>
        <w:tc>
          <w:tcPr/>
          <w:p>
            <w:pPr>
              <w:pStyle w:val="Compact"/>
            </w:pPr>
            <w:r>
              <w:t xml:space="preserve">Same</w:t>
            </w:r>
          </w:p>
        </w:tc>
        <w:tc>
          <w:tcPr/>
          <w:p>
            <w:pPr>
              <w:pStyle w:val="Compact"/>
            </w:pPr>
            <w:r>
              <w:t xml:space="preserve">End session when time limits are reached</w:t>
            </w:r>
          </w:p>
        </w:tc>
        <w:tc>
          <w:tcPr/>
          <w:p>
            <w:pPr>
              <w:pStyle w:val="Compact"/>
            </w:pPr>
            <w:r>
              <w:t xml:space="preserve">Enabled</w:t>
            </w:r>
          </w:p>
        </w:tc>
      </w:tr>
      <w:tr>
        <w:tc>
          <w:tcPr/>
          <w:p>
            <w:pPr>
              <w:pStyle w:val="Compact"/>
            </w:pPr>
            <w:r>
              <w:t xml:space="preserve">User Rights</w:t>
            </w:r>
          </w:p>
        </w:tc>
        <w:tc>
          <w:tcPr/>
          <w:p>
            <w:pPr>
              <w:pStyle w:val="Compact"/>
            </w:pPr>
            <w:r>
              <w:t xml:space="preserve">Allow log on through Remote Desktop Services</w:t>
            </w:r>
          </w:p>
        </w:tc>
        <w:tc>
          <w:tcPr/>
          <w:p>
            <w:pPr>
              <w:pStyle w:val="Compact"/>
            </w:pPr>
            <w:r>
              <w:rPr>
                <w:rStyle w:val="VerbatimChar"/>
              </w:rPr>
              <w:t xml:space="preserve">FMP-RDP-Users</w:t>
            </w:r>
            <w:r>
              <w:t xml:space="preserve"> </w:t>
            </w:r>
            <w:r>
              <w:t xml:space="preserve">group</w:t>
            </w:r>
          </w:p>
        </w:tc>
      </w:tr>
    </w:tbl>
    <w:bookmarkEnd w:id="114"/>
    <w:bookmarkStart w:id="116" w:name="sc-010-user-experience"/>
    <w:p>
      <w:pPr>
        <w:pStyle w:val="Heading3"/>
      </w:pPr>
      <w:r>
        <w:t xml:space="preserve">SC-010: user experience</w:t>
      </w:r>
    </w:p>
    <w:p>
      <w:pPr>
        <w:pStyle w:val="FirstParagraph"/>
      </w:pPr>
      <w:r>
        <w:t xml:space="preserve">Replaces GPO Start layout, wallpaper and lock screen policies.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Settings catalog</w:t>
            </w:r>
          </w:p>
        </w:tc>
        <w:tc>
          <w:tcPr/>
          <w:p>
            <w:pPr>
              <w:pStyle w:val="Compact"/>
            </w:pPr>
            <w:r>
              <w:t xml:space="preserve">Setting</w:t>
            </w:r>
          </w:p>
        </w:tc>
        <w:tc>
          <w:tcPr/>
          <w:p>
            <w:pPr>
              <w:pStyle w:val="Compact"/>
            </w:pPr>
            <w:r>
              <w:t xml:space="preserve">Value</w:t>
            </w:r>
          </w:p>
        </w:tc>
        <w:tc>
          <w:tcPr/>
          <w:p>
            <w:pPr>
              <w:pStyle w:val="Compact"/>
            </w:pPr>
            <w:r>
              <w:t xml:space="preserve">GPO equivalent</w:t>
            </w:r>
          </w:p>
        </w:tc>
      </w:tr>
      <w:tr>
        <w:tc>
          <w:tcPr/>
          <w:p>
            <w:pPr>
              <w:pStyle w:val="Compact"/>
            </w:pPr>
            <w:r>
              <w:t xml:space="preserve">Start</w:t>
            </w:r>
          </w:p>
        </w:tc>
        <w:tc>
          <w:tcPr/>
          <w:p>
            <w:pPr>
              <w:pStyle w:val="Compact"/>
            </w:pPr>
            <w:r>
              <w:t xml:space="preserve">Start layout</w:t>
            </w:r>
          </w:p>
        </w:tc>
        <w:tc>
          <w:tcPr/>
          <w:p>
            <w:pPr>
              <w:pStyle w:val="Compact"/>
            </w:pPr>
            <w:r>
              <w:t xml:space="preserve">A layout pinning line-of-business apps, Microsoft 365 apps and Edge</w:t>
            </w:r>
          </w:p>
        </w:tc>
        <w:tc>
          <w:tcPr/>
          <w:p>
            <w:pPr>
              <w:pStyle w:val="Compact"/>
            </w:pPr>
            <w:r>
              <w:t xml:space="preserve">Computer Configuration &gt; Administrative Templates &gt; Start Menu and Taskbar &gt; Start Layout</w:t>
            </w:r>
          </w:p>
        </w:tc>
      </w:tr>
      <w:tr>
        <w:tc>
          <w:tcPr/>
          <w:p>
            <w:pPr>
              <w:pStyle w:val="Compact"/>
            </w:pPr>
            <w:r>
              <w:t xml:space="preserve">Personalization</w:t>
            </w:r>
          </w:p>
        </w:tc>
        <w:tc>
          <w:tcPr/>
          <w:p>
            <w:pPr>
              <w:pStyle w:val="Compact"/>
            </w:pPr>
            <w:r>
              <w:t xml:space="preserve">Desktop image</w:t>
            </w:r>
          </w:p>
        </w:tc>
        <w:tc>
          <w:tcPr/>
          <w:p>
            <w:pPr>
              <w:pStyle w:val="Compact"/>
            </w:pPr>
            <w:r>
              <w:t xml:space="preserve">Organization wallpaper, staged by a Win32 app</w:t>
            </w:r>
          </w:p>
        </w:tc>
        <w:tc>
          <w:tcPr/>
          <w:p>
            <w:pPr>
              <w:pStyle w:val="Compact"/>
            </w:pPr>
            <w:r>
              <w:t xml:space="preserve">User Configuration &gt; Administrative Templates &gt; Desktop &gt; Desktop Wallpaper</w:t>
            </w:r>
          </w:p>
        </w:tc>
      </w:tr>
      <w:tr>
        <w:tc>
          <w:tcPr/>
          <w:p>
            <w:pPr>
              <w:pStyle w:val="Compact"/>
            </w:pPr>
            <w:r>
              <w:t xml:space="preserve">Personalization</w:t>
            </w:r>
          </w:p>
        </w:tc>
        <w:tc>
          <w:tcPr/>
          <w:p>
            <w:pPr>
              <w:pStyle w:val="Compact"/>
            </w:pPr>
            <w:r>
              <w:t xml:space="preserve">Lock screen image</w:t>
            </w:r>
          </w:p>
        </w:tc>
        <w:tc>
          <w:tcPr/>
          <w:p>
            <w:pPr>
              <w:pStyle w:val="Compact"/>
            </w:pPr>
            <w:r>
              <w:t xml:space="preserve">Organization lock screen</w:t>
            </w:r>
          </w:p>
        </w:tc>
        <w:tc>
          <w:tcPr/>
          <w:p>
            <w:pPr>
              <w:pStyle w:val="Compact"/>
            </w:pPr>
            <w:r>
              <w:t xml:space="preserve">Computer Configuration &gt; Administrative Templates &gt; Control Panel &gt; Personalization</w:t>
            </w:r>
          </w:p>
        </w:tc>
      </w:tr>
      <w:tr>
        <w:tc>
          <w:tcPr/>
          <w:p>
            <w:pPr>
              <w:pStyle w:val="Compact"/>
            </w:pPr>
            <w:r>
              <w:t xml:space="preserve">Start</w:t>
            </w:r>
          </w:p>
        </w:tc>
        <w:tc>
          <w:tcPr/>
          <w:p>
            <w:pPr>
              <w:pStyle w:val="Compact"/>
            </w:pPr>
            <w:r>
              <w:t xml:space="preserve">Taskbar pinned apps</w:t>
            </w:r>
          </w:p>
        </w:tc>
        <w:tc>
          <w:tcPr/>
          <w:p>
            <w:pPr>
              <w:pStyle w:val="Compact"/>
            </w:pPr>
            <w:r>
              <w:t xml:space="preserve">Edge, Outlook, Teams, File Explorer</w:t>
            </w:r>
          </w:p>
        </w:tc>
        <w:tc>
          <w:tcPr/>
          <w:p>
            <w:pPr>
              <w:pStyle w:val="Compact"/>
            </w:pPr>
            <w:r>
              <w:t xml:space="preserve">Start Menu and Taskbar</w:t>
            </w:r>
          </w:p>
        </w:tc>
      </w:tr>
      <w:tr>
        <w:tc>
          <w:tcPr/>
          <w:p>
            <w:pPr>
              <w:pStyle w:val="Compact"/>
            </w:pPr>
            <w:r>
              <w:t xml:space="preserve">Experience</w:t>
            </w:r>
          </w:p>
        </w:tc>
        <w:tc>
          <w:tcPr/>
          <w:p>
            <w:pPr>
              <w:pStyle w:val="Compact"/>
            </w:pPr>
            <w:r>
              <w:t xml:space="preserve">Windows Spotlight</w:t>
            </w:r>
          </w:p>
        </w:tc>
        <w:tc>
          <w:tcPr/>
          <w:p>
            <w:pPr>
              <w:pStyle w:val="Compact"/>
            </w:pPr>
            <w:r>
              <w:t xml:space="preserve">Disabled</w:t>
            </w:r>
          </w:p>
        </w:tc>
        <w:tc>
          <w:tcPr/>
          <w:p>
            <w:pPr>
              <w:pStyle w:val="Compact"/>
            </w:pPr>
            <w:r>
              <w:t xml:space="preserve">User Configuration &gt; Administrative Templates &gt; Windows Components &gt; Cloud Content</w:t>
            </w:r>
          </w:p>
        </w:tc>
      </w:tr>
      <w:tr>
        <w:tc>
          <w:tcPr/>
          <w:p>
            <w:pPr>
              <w:pStyle w:val="Compact"/>
            </w:pPr>
            <w:r>
              <w:t xml:space="preserve">Experience</w:t>
            </w:r>
          </w:p>
        </w:tc>
        <w:tc>
          <w:tcPr/>
          <w:p>
            <w:pPr>
              <w:pStyle w:val="Compact"/>
            </w:pPr>
            <w:r>
              <w:t xml:space="preserve">Allow Windows consumer features</w:t>
            </w:r>
          </w:p>
        </w:tc>
        <w:tc>
          <w:tcPr/>
          <w:p>
            <w:pPr>
              <w:pStyle w:val="Compact"/>
            </w:pPr>
            <w:r>
              <w:t xml:space="preserve">Block</w:t>
            </w:r>
          </w:p>
        </w:tc>
        <w:tc>
          <w:tcPr/>
          <w:p>
            <w:pPr>
              <w:pStyle w:val="Compact"/>
            </w:pPr>
            <w:r>
              <w:t xml:space="preserve">Computer Configuration &gt; Administrative Templates &gt; Windows Components &gt; Cloud Content</w:t>
            </w:r>
          </w:p>
        </w:tc>
      </w:tr>
    </w:tbl>
    <w:p>
      <w:pPr>
        <w:pStyle w:val="BodyText"/>
      </w:pPr>
      <w:r>
        <w:t xml:space="preserve">Windows 11 limits how much of Start and the taskbar MDM can customize, and Microsoft documents the supported CSPs separately for each; test the layout on the pilot ring.</w:t>
      </w:r>
      <w:r>
        <w:rPr>
          <w:rStyle w:val="FootnoteReference"/>
        </w:rPr>
        <w:footnoteReference w:id="115"/>
      </w:r>
    </w:p>
    <w:bookmarkEnd w:id="116"/>
    <w:bookmarkEnd w:id="117"/>
    <w:bookmarkStart w:id="156" w:name="endpoint-security-policies"/>
    <w:p>
      <w:pPr>
        <w:pStyle w:val="Heading2"/>
      </w:pPr>
      <w:r>
        <w:t xml:space="preserve">Endpoint security policies</w:t>
      </w:r>
    </w:p>
    <w:p>
      <w:pPr>
        <w:pStyle w:val="FirstParagraph"/>
      </w:pPr>
      <w:r>
        <w:t xml:space="preserve">Endpoint security policies live under</w:t>
      </w:r>
      <w:r>
        <w:t xml:space="preserve"> </w:t>
      </w:r>
      <w:r>
        <w:rPr>
          <w:b/>
          <w:bCs/>
        </w:rPr>
        <w:t xml:space="preserve">Endpoint security</w:t>
      </w:r>
      <w:r>
        <w:t xml:space="preserve"> </w:t>
      </w:r>
      <w:r>
        <w:t xml:space="preserve">in the Intune admin center. They are security-focused profiles, but they aren’t a higher-priority source: they have the same standing as configuration profiles when the two conflict.</w:t>
      </w:r>
      <w:r>
        <w:rPr>
          <w:rStyle w:val="FootnoteReference"/>
        </w:rPr>
        <w:footnoteReference w:id="118"/>
      </w:r>
      <w:r>
        <w:t xml:space="preserve"> </w:t>
      </w:r>
      <w:r>
        <w:t xml:space="preserve">In the program’s library they own every Defender, BitLocker, firewall, account protection and LAPS setting.</w:t>
      </w:r>
    </w:p>
    <w:bookmarkStart w:id="130" w:name="es-001-antivirus"/>
    <w:p>
      <w:pPr>
        <w:pStyle w:val="Heading3"/>
      </w:pPr>
      <w:r>
        <w:t xml:space="preserve">ES-001: antivirus</w:t>
      </w:r>
    </w:p>
    <w:p>
      <w:pPr>
        <w:pStyle w:val="FirstParagraph"/>
      </w:pPr>
      <w:r>
        <w:t xml:space="preserve">Replaces the Microsoft Defender Antivirus GPOs, and absorbs the source’s SC-002 profile.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w:t>
            </w:r>
          </w:p>
        </w:tc>
        <w:tc>
          <w:tcPr/>
          <w:p>
            <w:pPr>
              <w:pStyle w:val="Compact"/>
            </w:pPr>
            <w:r>
              <w:t xml:space="preserve">Value</w:t>
            </w:r>
          </w:p>
        </w:tc>
        <w:tc>
          <w:tcPr/>
          <w:p>
            <w:pPr>
              <w:pStyle w:val="Compact"/>
            </w:pPr>
            <w:r>
              <w:t xml:space="preserve">GPO path</w:t>
            </w:r>
          </w:p>
        </w:tc>
        <w:tc>
          <w:tcPr/>
          <w:p>
            <w:pPr>
              <w:pStyle w:val="Compact"/>
            </w:pPr>
            <w:r>
              <w:t xml:space="preserve">Notes</w:t>
            </w:r>
          </w:p>
        </w:tc>
      </w:tr>
      <w:tr>
        <w:tc>
          <w:tcPr/>
          <w:p>
            <w:pPr>
              <w:pStyle w:val="Compact"/>
            </w:pPr>
            <w:r>
              <w:t xml:space="preserve">Real-time protection</w:t>
            </w:r>
          </w:p>
        </w:tc>
        <w:tc>
          <w:tcPr/>
          <w:p>
            <w:pPr>
              <w:pStyle w:val="Compact"/>
            </w:pPr>
            <w:r>
              <w:t xml:space="preserve">On</w:t>
            </w:r>
          </w:p>
        </w:tc>
        <w:tc>
          <w:tcPr/>
          <w:p>
            <w:pPr>
              <w:pStyle w:val="Compact"/>
            </w:pPr>
            <w:r>
              <w:t xml:space="preserve">Computer Configuration &gt; Administrative Templates &gt; Windows Components &gt; Microsoft Defender Antivirus &gt; Real-time Protection</w:t>
            </w:r>
          </w:p>
        </w:tc>
        <w:tc>
          <w:tcPr/>
          <w:p>
            <w:pPr>
              <w:pStyle w:val="Compact"/>
            </w:pPr>
            <w:r>
              <w:t xml:space="preserve">Compliance (CP-001) checks it; ES-001 sets it</w:t>
            </w:r>
          </w:p>
        </w:tc>
      </w:tr>
      <w:tr>
        <w:tc>
          <w:tcPr/>
          <w:p>
            <w:pPr>
              <w:pStyle w:val="Compact"/>
            </w:pPr>
            <w:r>
              <w:t xml:space="preserve">Cloud-delivered protection</w:t>
            </w:r>
          </w:p>
        </w:tc>
        <w:tc>
          <w:tcPr/>
          <w:p>
            <w:pPr>
              <w:pStyle w:val="Compact"/>
            </w:pPr>
            <w:r>
              <w:t xml:space="preserve">On</w:t>
            </w:r>
          </w:p>
        </w:tc>
        <w:tc>
          <w:tcPr/>
          <w:p>
            <w:pPr>
              <w:pStyle w:val="Compact"/>
            </w:pPr>
            <w:r>
              <w:t xml:space="preserve">Same &gt; MAPS</w:t>
            </w:r>
          </w:p>
        </w:tc>
        <w:tc>
          <w:tcPr/>
          <w:p>
            <w:pPr>
              <w:pStyle w:val="Compact"/>
            </w:pPr>
            <w:r>
              <w:t xml:space="preserve">—</w:t>
            </w:r>
          </w:p>
        </w:tc>
      </w:tr>
      <w:tr>
        <w:tc>
          <w:tcPr/>
          <w:p>
            <w:pPr>
              <w:pStyle w:val="Compact"/>
            </w:pPr>
            <w:r>
              <w:t xml:space="preserve">Cloud block level</w:t>
            </w:r>
          </w:p>
        </w:tc>
        <w:tc>
          <w:tcPr/>
          <w:p>
            <w:pPr>
              <w:pStyle w:val="Compact"/>
            </w:pPr>
            <w:r>
              <w:t xml:space="preserve">High</w:t>
            </w:r>
          </w:p>
        </w:tc>
        <w:tc>
          <w:tcPr/>
          <w:p>
            <w:pPr>
              <w:pStyle w:val="Compact"/>
            </w:pPr>
            <w:r>
              <w:t xml:space="preserve">Same &gt; MAPS</w:t>
            </w:r>
          </w:p>
        </w:tc>
        <w:tc>
          <w:tcPr/>
          <w:p>
            <w:pPr>
              <w:pStyle w:val="Compact"/>
            </w:pPr>
            <w:r>
              <w:t xml:space="preserve">Values: Default, High, High plus, Zero tolerance</w:t>
            </w:r>
            <w:r>
              <w:rPr>
                <w:rStyle w:val="FootnoteReference"/>
              </w:rPr>
              <w:footnoteReference w:id="119"/>
            </w:r>
          </w:p>
        </w:tc>
      </w:tr>
      <w:tr>
        <w:tc>
          <w:tcPr/>
          <w:p>
            <w:pPr>
              <w:pStyle w:val="Compact"/>
            </w:pPr>
            <w:r>
              <w:t xml:space="preserve">Cloud extended timeout</w:t>
            </w:r>
          </w:p>
        </w:tc>
        <w:tc>
          <w:tcPr/>
          <w:p>
            <w:pPr>
              <w:pStyle w:val="Compact"/>
            </w:pPr>
            <w:r>
              <w:t xml:space="preserve">50 seconds</w:t>
            </w:r>
          </w:p>
        </w:tc>
        <w:tc>
          <w:tcPr/>
          <w:p>
            <w:pPr>
              <w:pStyle w:val="Compact"/>
            </w:pPr>
            <w:r>
              <w:t xml:space="preserve">Same &gt; MAPS</w:t>
            </w:r>
          </w:p>
        </w:tc>
        <w:tc>
          <w:tcPr/>
          <w:p>
            <w:pPr>
              <w:pStyle w:val="Compact"/>
            </w:pPr>
            <w:r>
              <w:t xml:space="preserve">Adds up to 50 seconds to the normal 10-second check, so 50 is the maximum</w:t>
            </w:r>
            <w:r>
              <w:rPr>
                <w:rStyle w:val="FootnoteReference"/>
              </w:rPr>
              <w:footnoteReference w:id="121"/>
            </w:r>
          </w:p>
        </w:tc>
      </w:tr>
      <w:tr>
        <w:tc>
          <w:tcPr/>
          <w:p>
            <w:pPr>
              <w:pStyle w:val="Compact"/>
            </w:pPr>
            <w:r>
              <w:t xml:space="preserve">Submit samples consent</w:t>
            </w:r>
          </w:p>
        </w:tc>
        <w:tc>
          <w:tcPr/>
          <w:p>
            <w:pPr>
              <w:pStyle w:val="Compact"/>
            </w:pPr>
            <w:r>
              <w:t xml:space="preserve">Send safe samples automatically</w:t>
            </w:r>
          </w:p>
        </w:tc>
        <w:tc>
          <w:tcPr/>
          <w:p>
            <w:pPr>
              <w:pStyle w:val="Compact"/>
            </w:pPr>
            <w:r>
              <w:t xml:space="preserve">Same &gt; MAPS</w:t>
            </w:r>
          </w:p>
        </w:tc>
        <w:tc>
          <w:tcPr/>
          <w:p>
            <w:pPr>
              <w:pStyle w:val="Compact"/>
            </w:pPr>
            <w:r>
              <w:t xml:space="preserve">See below</w:t>
            </w:r>
          </w:p>
        </w:tc>
      </w:tr>
      <w:tr>
        <w:tc>
          <w:tcPr/>
          <w:p>
            <w:pPr>
              <w:pStyle w:val="Compact"/>
            </w:pPr>
            <w:r>
              <w:t xml:space="preserve">PUA protection</w:t>
            </w:r>
          </w:p>
        </w:tc>
        <w:tc>
          <w:tcPr/>
          <w:p>
            <w:pPr>
              <w:pStyle w:val="Compact"/>
            </w:pPr>
            <w:r>
              <w:t xml:space="preserve">On</w:t>
            </w:r>
          </w:p>
        </w:tc>
        <w:tc>
          <w:tcPr/>
          <w:p>
            <w:pPr>
              <w:pStyle w:val="Compact"/>
            </w:pPr>
            <w:r>
              <w:t xml:space="preserve">Microsoft Defender Antivirus</w:t>
            </w:r>
          </w:p>
        </w:tc>
        <w:tc>
          <w:tcPr/>
          <w:p>
            <w:pPr>
              <w:pStyle w:val="Compact"/>
            </w:pPr>
            <w:r>
              <w:t xml:space="preserve">—</w:t>
            </w:r>
          </w:p>
        </w:tc>
      </w:tr>
      <w:tr>
        <w:tc>
          <w:tcPr/>
          <w:p>
            <w:pPr>
              <w:pStyle w:val="Compact"/>
            </w:pPr>
            <w:r>
              <w:t xml:space="preserve">Network protection</w:t>
            </w:r>
          </w:p>
        </w:tc>
        <w:tc>
          <w:tcPr/>
          <w:p>
            <w:pPr>
              <w:pStyle w:val="Compact"/>
            </w:pPr>
            <w:r>
              <w:t xml:space="preserve">Enabled (block mode)</w:t>
            </w:r>
          </w:p>
        </w:tc>
        <w:tc>
          <w:tcPr/>
          <w:p>
            <w:pPr>
              <w:pStyle w:val="Compact"/>
            </w:pPr>
            <w:r>
              <w:t xml:space="preserve">Microsoft Defender Exploit Guard &gt; Network Protection</w:t>
            </w:r>
          </w:p>
        </w:tc>
        <w:tc>
          <w:tcPr/>
          <w:p>
            <w:pPr>
              <w:pStyle w:val="Compact"/>
            </w:pPr>
            <w:r>
              <w:t xml:space="preserve">—</w:t>
            </w:r>
          </w:p>
        </w:tc>
      </w:tr>
      <w:tr>
        <w:tc>
          <w:tcPr/>
          <w:p>
            <w:pPr>
              <w:pStyle w:val="Compact"/>
            </w:pPr>
            <w:r>
              <w:t xml:space="preserve">Controlled folder access</w:t>
            </w:r>
          </w:p>
        </w:tc>
        <w:tc>
          <w:tcPr/>
          <w:p>
            <w:pPr>
              <w:pStyle w:val="Compact"/>
            </w:pPr>
            <w:r>
              <w:t xml:space="preserve">Audit mode, then enabled in phases</w:t>
            </w:r>
          </w:p>
        </w:tc>
        <w:tc>
          <w:tcPr/>
          <w:p>
            <w:pPr>
              <w:pStyle w:val="Compact"/>
            </w:pPr>
            <w:r>
              <w:t xml:space="preserve">Microsoft Defender Exploit Guard &gt; Controlled Folder Access</w:t>
            </w:r>
          </w:p>
        </w:tc>
        <w:tc>
          <w:tcPr/>
          <w:p>
            <w:pPr>
              <w:pStyle w:val="Compact"/>
            </w:pPr>
            <w:r>
              <w:t xml:space="preserve">—</w:t>
            </w:r>
          </w:p>
        </w:tc>
      </w:tr>
      <w:tr>
        <w:tc>
          <w:tcPr/>
          <w:p>
            <w:pPr>
              <w:pStyle w:val="Compact"/>
            </w:pPr>
            <w:r>
              <w:t xml:space="preserve">Tamper protection (Windows Security experience profile)</w:t>
            </w:r>
          </w:p>
        </w:tc>
        <w:tc>
          <w:tcPr/>
          <w:p>
            <w:pPr>
              <w:pStyle w:val="Compact"/>
            </w:pPr>
            <w:r>
              <w:t xml:space="preserve">On</w:t>
            </w:r>
          </w:p>
        </w:tc>
        <w:tc>
          <w:tcPr/>
          <w:p>
            <w:pPr>
              <w:pStyle w:val="Compact"/>
            </w:pPr>
            <w:r>
              <w:t xml:space="preserve">None</w:t>
            </w:r>
          </w:p>
        </w:tc>
        <w:tc>
          <w:tcPr/>
          <w:p>
            <w:pPr>
              <w:pStyle w:val="Compact"/>
            </w:pPr>
            <w:r>
              <w:t xml:space="preserve">Needs devices onboarded to Defender for Endpoint (Plan 1 or 2)</w:t>
            </w:r>
            <w:r>
              <w:rPr>
                <w:rStyle w:val="FootnoteReference"/>
              </w:rPr>
              <w:footnoteReference w:id="122"/>
            </w:r>
          </w:p>
        </w:tc>
      </w:tr>
      <w:tr>
        <w:tc>
          <w:tcPr/>
          <w:p>
            <w:pPr>
              <w:pStyle w:val="Compact"/>
            </w:pPr>
            <w:r>
              <w:t xml:space="preserve">Full scan</w:t>
            </w:r>
          </w:p>
        </w:tc>
        <w:tc>
          <w:tcPr/>
          <w:p>
            <w:pPr>
              <w:pStyle w:val="Compact"/>
            </w:pPr>
            <w:r>
              <w:t xml:space="preserve">Sunday, 02:00</w:t>
            </w:r>
          </w:p>
        </w:tc>
        <w:tc>
          <w:tcPr/>
          <w:p>
            <w:pPr>
              <w:pStyle w:val="Compact"/>
            </w:pPr>
            <w:r>
              <w:t xml:space="preserve">Microsoft Defender Antivirus &gt; Scan</w:t>
            </w:r>
          </w:p>
        </w:tc>
        <w:tc>
          <w:tcPr/>
          <w:p>
            <w:pPr>
              <w:pStyle w:val="Compact"/>
            </w:pPr>
            <w:r>
              <w:t xml:space="preserve">—</w:t>
            </w:r>
          </w:p>
        </w:tc>
      </w:tr>
      <w:tr>
        <w:tc>
          <w:tcPr/>
          <w:p>
            <w:pPr>
              <w:pStyle w:val="Compact"/>
            </w:pPr>
            <w:r>
              <w:t xml:space="preserve">Quick scan</w:t>
            </w:r>
          </w:p>
        </w:tc>
        <w:tc>
          <w:tcPr/>
          <w:p>
            <w:pPr>
              <w:pStyle w:val="Compact"/>
            </w:pPr>
            <w:r>
              <w:t xml:space="preserve">Daily, 12:00</w:t>
            </w:r>
          </w:p>
        </w:tc>
        <w:tc>
          <w:tcPr/>
          <w:p>
            <w:pPr>
              <w:pStyle w:val="Compact"/>
            </w:pPr>
            <w:r>
              <w:t xml:space="preserve">Same</w:t>
            </w:r>
          </w:p>
        </w:tc>
        <w:tc>
          <w:tcPr/>
          <w:p>
            <w:pPr>
              <w:pStyle w:val="Compact"/>
            </w:pPr>
            <w:r>
              <w:t xml:space="preserve">—</w:t>
            </w:r>
          </w:p>
        </w:tc>
      </w:tr>
      <w:tr>
        <w:tc>
          <w:tcPr/>
          <w:p>
            <w:pPr>
              <w:pStyle w:val="Compact"/>
            </w:pPr>
            <w:r>
              <w:t xml:space="preserve">Process exclusions</w:t>
            </w:r>
          </w:p>
        </w:tc>
        <w:tc>
          <w:tcPr/>
          <w:p>
            <w:pPr>
              <w:pStyle w:val="Compact"/>
            </w:pPr>
            <w:r>
              <w:t xml:space="preserve">Line-of-business executables</w:t>
            </w:r>
          </w:p>
        </w:tc>
        <w:tc>
          <w:tcPr/>
          <w:p>
            <w:pPr>
              <w:pStyle w:val="Compact"/>
            </w:pPr>
            <w:r>
              <w:t xml:space="preserve">Microsoft Defender Antivirus &gt; Exclusions</w:t>
            </w:r>
          </w:p>
        </w:tc>
        <w:tc>
          <w:tcPr/>
          <w:p>
            <w:pPr>
              <w:pStyle w:val="Compact"/>
            </w:pPr>
            <w:r>
              <w:t xml:space="preserve">Organization-specific; maintained list</w:t>
            </w:r>
          </w:p>
        </w:tc>
      </w:tr>
      <w:tr>
        <w:tc>
          <w:tcPr/>
          <w:p>
            <w:pPr>
              <w:pStyle w:val="Compact"/>
            </w:pPr>
            <w:r>
              <w:t xml:space="preserve">Path exclusions</w:t>
            </w:r>
          </w:p>
        </w:tc>
        <w:tc>
          <w:tcPr/>
          <w:p>
            <w:pPr>
              <w:pStyle w:val="Compact"/>
            </w:pPr>
            <w:r>
              <w:t xml:space="preserve">Line-of-business data directories</w:t>
            </w:r>
          </w:p>
        </w:tc>
        <w:tc>
          <w:tcPr/>
          <w:p>
            <w:pPr>
              <w:pStyle w:val="Compact"/>
            </w:pPr>
            <w:r>
              <w:t xml:space="preserve">Same</w:t>
            </w:r>
          </w:p>
        </w:tc>
        <w:tc>
          <w:tcPr/>
          <w:p>
            <w:pPr>
              <w:pStyle w:val="Compact"/>
            </w:pPr>
            <w:r>
              <w:t xml:space="preserve">Keep to a minimum</w:t>
            </w:r>
          </w:p>
        </w:tc>
      </w:tr>
      <w:tr>
        <w:tc>
          <w:tcPr/>
          <w:p>
            <w:pPr>
              <w:pStyle w:val="Compact"/>
            </w:pPr>
            <w:r>
              <w:t xml:space="preserve">Extension exclusions</w:t>
            </w:r>
          </w:p>
        </w:tc>
        <w:tc>
          <w:tcPr/>
          <w:p>
            <w:pPr>
              <w:pStyle w:val="Compact"/>
            </w:pPr>
            <w:r>
              <w:t xml:space="preserve">Only as required by line-of-business apps</w:t>
            </w:r>
          </w:p>
        </w:tc>
        <w:tc>
          <w:tcPr/>
          <w:p>
            <w:pPr>
              <w:pStyle w:val="Compact"/>
            </w:pPr>
            <w:r>
              <w:t xml:space="preserve">Same</w:t>
            </w:r>
          </w:p>
        </w:tc>
        <w:tc>
          <w:tcPr/>
          <w:p>
            <w:pPr>
              <w:pStyle w:val="Compact"/>
            </w:pPr>
            <w:r>
              <w:t xml:space="preserve">Justify each one</w:t>
            </w:r>
          </w:p>
        </w:tc>
      </w:tr>
    </w:tbl>
    <w:p>
      <w:pPr>
        <w:pStyle w:val="BodyText"/>
      </w:pPr>
      <w:r>
        <w:t xml:space="preserve">The source table said</w:t>
      </w:r>
      <w:r>
        <w:t xml:space="preserve"> </w:t>
      </w:r>
      <w:r>
        <w:t xml:space="preserve">“send all samples automatically”</w:t>
      </w:r>
      <w:r>
        <w:t xml:space="preserve"> </w:t>
      </w:r>
      <w:r>
        <w:t xml:space="preserve">while its JSON sent the value for safe samples. The program uses safe samples (value 1). Sending all samples (value 3) can upload documents that contain organizational data, so it is an explicit decision for the data owner.</w:t>
      </w:r>
      <w:r>
        <w:rPr>
          <w:rStyle w:val="FootnoteReference"/>
        </w:rPr>
        <w:footnoteReference w:id="125"/>
      </w:r>
    </w:p>
    <w:p>
      <w:pPr>
        <w:pStyle w:val="BodyText"/>
      </w:pPr>
      <w:r>
        <w:t xml:space="preserve">Tamper protection through Intune needs the device onboarded to Defender for Endpoint, and Microsoft doesn’t support managing it this way on co-managed devices.</w:t>
      </w:r>
      <w:r>
        <w:rPr>
          <w:rStyle w:val="FootnoteReference"/>
        </w:rPr>
        <w:footnoteReference w:id="126"/>
      </w:r>
      <w:r>
        <w:t xml:space="preserve"> </w:t>
      </w:r>
      <w:r>
        <w:t xml:space="preserve">On a co-managed device it waits until the Endpoint Protection workload has moved.</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28" name="Picture"/>
                  <a:graphic>
                    <a:graphicData uri="http://schemas.openxmlformats.org/drawingml/2006/picture">
                      <pic:pic>
                        <pic:nvPicPr>
                          <pic:cNvPr descr="/opt/quarto/share/formats/docx/warning.png" id="129" name="Picture"/>
                          <pic:cNvPicPr>
                            <a:picLocks noChangeArrowheads="1" noChangeAspect="1"/>
                          </pic:cNvPicPr>
                        </pic:nvPicPr>
                        <pic:blipFill>
                          <a:blip r:embed="rId12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Exclusion hygiene</w:t>
            </w:r>
          </w:p>
        </w:tc>
      </w:tr>
      <w:tr>
        <w:trPr>
          <w:cantSplit/>
        </w:trPr>
        <w:tc>
          <w:tcPr>
            <w:tcMar>
              <w:top w:w="108" w:type="dxa"/>
              <w:bottom w:w="108" w:type="dxa"/>
            </w:tcMar>
          </w:tcPr>
          <w:p>
            <w:pPr>
              <w:pStyle w:val="BodyText"/>
            </w:pPr>
            <w:pPr>
              <w:spacing w:before="16" w:after="16"/>
            </w:pPr>
            <w:r>
              <w:t xml:space="preserve">Every antivirus exclusion widens the attack surface. Record the business reason for each exclusion, review the list quarterly, and remove exclusions for retired applications. Never exclude common executable and script types (</w:t>
            </w:r>
            <w:r>
              <w:rPr>
                <w:rStyle w:val="VerbatimChar"/>
              </w:rPr>
              <w:t xml:space="preserve">.exe</w:t>
            </w:r>
            <w:r>
              <w:t xml:space="preserve">,</w:t>
            </w:r>
            <w:r>
              <w:t xml:space="preserve"> </w:t>
            </w:r>
            <w:r>
              <w:rPr>
                <w:rStyle w:val="VerbatimChar"/>
              </w:rPr>
              <w:t xml:space="preserve">.dll</w:t>
            </w:r>
            <w:r>
              <w:t xml:space="preserve">,</w:t>
            </w:r>
            <w:r>
              <w:t xml:space="preserve"> </w:t>
            </w:r>
            <w:r>
              <w:rPr>
                <w:rStyle w:val="VerbatimChar"/>
              </w:rPr>
              <w:t xml:space="preserve">.ps1</w:t>
            </w:r>
            <w:r>
              <w:t xml:space="preserve">,</w:t>
            </w:r>
            <w:r>
              <w:t xml:space="preserve"> </w:t>
            </w:r>
            <w:r>
              <w:rPr>
                <w:rStyle w:val="VerbatimChar"/>
              </w:rPr>
              <w:t xml:space="preserve">.bat</w:t>
            </w:r>
            <w:r>
              <w:t xml:space="preserve">,</w:t>
            </w:r>
            <w:r>
              <w:t xml:space="preserve"> </w:t>
            </w:r>
            <w:r>
              <w:rPr>
                <w:rStyle w:val="VerbatimChar"/>
              </w:rPr>
              <w:t xml:space="preserve">.cmd</w:t>
            </w:r>
            <w:r>
              <w:t xml:space="preserve">).</w:t>
            </w:r>
          </w:p>
          <w:p/>
        </w:tc>
      </w:tr>
    </w:tbl>
    <w:bookmarkEnd w:id="130"/>
    <w:bookmarkStart w:id="134" w:name="es-002-disk-encryption"/>
    <w:p>
      <w:pPr>
        <w:pStyle w:val="Heading3"/>
      </w:pPr>
      <w:r>
        <w:t xml:space="preserve">ES-002: disk encryption</w:t>
      </w:r>
    </w:p>
    <w:p>
      <w:pPr>
        <w:pStyle w:val="FirstParagraph"/>
      </w:pPr>
      <w:r>
        <w:t xml:space="preserve">Replaces the BitLocker Drive Encryption GPOs (Computer Configuration &gt; Administrative Templates &gt; Windows Components &gt; BitLocker Drive Encryption), and absorbs the source’s SC-006 profile.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Notes</w:t>
            </w:r>
          </w:p>
        </w:tc>
      </w:tr>
      <w:tr>
        <w:tc>
          <w:tcPr/>
          <w:p>
            <w:pPr>
              <w:pStyle w:val="Compact"/>
            </w:pPr>
            <w:r>
              <w:t xml:space="preserve">Require device encryption</w:t>
            </w:r>
          </w:p>
        </w:tc>
        <w:tc>
          <w:tcPr/>
          <w:p>
            <w:pPr>
              <w:pStyle w:val="Compact"/>
            </w:pPr>
            <w:r>
              <w:t xml:space="preserve">Required</w:t>
            </w:r>
          </w:p>
        </w:tc>
        <w:tc>
          <w:tcPr/>
          <w:p>
            <w:pPr>
              <w:pStyle w:val="Compact"/>
            </w:pPr>
            <w:r>
              <w:t xml:space="preserve">—</w:t>
            </w:r>
          </w:p>
        </w:tc>
      </w:tr>
      <w:tr>
        <w:tc>
          <w:tcPr/>
          <w:p>
            <w:pPr>
              <w:pStyle w:val="Compact"/>
            </w:pPr>
            <w:r>
              <w:t xml:space="preserve">Encryption method, operating system and fixed drives</w:t>
            </w:r>
          </w:p>
        </w:tc>
        <w:tc>
          <w:tcPr/>
          <w:p>
            <w:pPr>
              <w:pStyle w:val="Compact"/>
            </w:pPr>
            <w:r>
              <w:t xml:space="preserve">XTS-AES 256-bit</w:t>
            </w:r>
          </w:p>
        </w:tc>
        <w:tc>
          <w:tcPr/>
          <w:p>
            <w:pPr>
              <w:pStyle w:val="Compact"/>
            </w:pPr>
            <w:r>
              <w:t xml:space="preserve">—</w:t>
            </w:r>
          </w:p>
        </w:tc>
      </w:tr>
      <w:tr>
        <w:tc>
          <w:tcPr/>
          <w:p>
            <w:pPr>
              <w:pStyle w:val="Compact"/>
            </w:pPr>
            <w:r>
              <w:t xml:space="preserve">Startup authentication</w:t>
            </w:r>
          </w:p>
        </w:tc>
        <w:tc>
          <w:tcPr/>
          <w:p>
            <w:pPr>
              <w:pStyle w:val="Compact"/>
            </w:pPr>
            <w:r>
              <w:t xml:space="preserve">TPM only for standard and kiosk devices; TPM with PIN for Tier 0</w:t>
            </w:r>
          </w:p>
        </w:tc>
        <w:tc>
          <w:tcPr/>
          <w:p>
            <w:pPr>
              <w:pStyle w:val="Compact"/>
            </w:pPr>
            <w:r>
              <w:t xml:space="preserve">Two policies, one per group</w:t>
            </w:r>
          </w:p>
        </w:tc>
      </w:tr>
      <w:tr>
        <w:tc>
          <w:tcPr/>
          <w:p>
            <w:pPr>
              <w:pStyle w:val="Compact"/>
            </w:pPr>
            <w:r>
              <w:t xml:space="preserve">Minimum startup PIN length</w:t>
            </w:r>
          </w:p>
        </w:tc>
        <w:tc>
          <w:tcPr/>
          <w:p>
            <w:pPr>
              <w:pStyle w:val="Compact"/>
            </w:pPr>
            <w:r>
              <w:t xml:space="preserve">6 digits (Tier 0 policy only)</w:t>
            </w:r>
          </w:p>
        </w:tc>
        <w:tc>
          <w:tcPr/>
          <w:p>
            <w:pPr>
              <w:pStyle w:val="Compact"/>
            </w:pPr>
            <w:r>
              <w:t xml:space="preserve">—</w:t>
            </w:r>
          </w:p>
        </w:tc>
      </w:tr>
      <w:tr>
        <w:tc>
          <w:tcPr/>
          <w:p>
            <w:pPr>
              <w:pStyle w:val="Compact"/>
            </w:pPr>
            <w:r>
              <w:t xml:space="preserve">Removable drives</w:t>
            </w:r>
          </w:p>
        </w:tc>
        <w:tc>
          <w:tcPr/>
          <w:p>
            <w:pPr>
              <w:pStyle w:val="Compact"/>
            </w:pPr>
            <w:r>
              <w:t xml:space="preserve">Deny write access to drives not protected by BitLocker</w:t>
            </w:r>
          </w:p>
        </w:tc>
        <w:tc>
          <w:tcPr/>
          <w:p>
            <w:pPr>
              <w:pStyle w:val="Compact"/>
            </w:pPr>
            <w:r>
              <w:t xml:space="preserve">—</w:t>
            </w:r>
          </w:p>
        </w:tc>
      </w:tr>
      <w:tr>
        <w:tc>
          <w:tcPr/>
          <w:p>
            <w:pPr>
              <w:pStyle w:val="Compact"/>
            </w:pPr>
            <w:r>
              <w:t xml:space="preserve">Recovery key escrow</w:t>
            </w:r>
          </w:p>
        </w:tc>
        <w:tc>
          <w:tcPr/>
          <w:p>
            <w:pPr>
              <w:pStyle w:val="Compact"/>
            </w:pPr>
            <w:r>
              <w:t xml:space="preserve">Microsoft Entra ID, required before encryption</w:t>
            </w:r>
          </w:p>
        </w:tc>
        <w:tc>
          <w:tcPr/>
          <w:p>
            <w:pPr>
              <w:pStyle w:val="Compact"/>
            </w:pPr>
            <w:r>
              <w:t xml:space="preserve">Keys stored on the device object</w:t>
            </w:r>
          </w:p>
        </w:tc>
      </w:tr>
      <w:tr>
        <w:tc>
          <w:tcPr/>
          <w:p>
            <w:pPr>
              <w:pStyle w:val="Compact"/>
            </w:pPr>
            <w:r>
              <w:t xml:space="preserve">Recovery password rotation</w:t>
            </w:r>
          </w:p>
        </w:tc>
        <w:tc>
          <w:tcPr/>
          <w:p>
            <w:pPr>
              <w:pStyle w:val="Compact"/>
            </w:pPr>
            <w:r>
              <w:t xml:space="preserve">Refresh on Entra-joined devices</w:t>
            </w:r>
          </w:p>
        </w:tc>
        <w:tc>
          <w:tcPr/>
          <w:p>
            <w:pPr>
              <w:pStyle w:val="Compact"/>
            </w:pPr>
            <w:r>
              <w:t xml:space="preserve">A new recovery password after each use</w:t>
            </w:r>
          </w:p>
        </w:tc>
      </w:tr>
      <w:tr>
        <w:tc>
          <w:tcPr/>
          <w:p>
            <w:pPr>
              <w:pStyle w:val="Compact"/>
            </w:pPr>
            <w:r>
              <w:t xml:space="preserve">Silent encryption</w:t>
            </w:r>
          </w:p>
        </w:tc>
        <w:tc>
          <w:tcPr/>
          <w:p>
            <w:pPr>
              <w:pStyle w:val="Compact"/>
            </w:pPr>
            <w:r>
              <w:t xml:space="preserve">On, standard and kiosk policy only</w:t>
            </w:r>
          </w:p>
        </w:tc>
        <w:tc>
          <w:tcPr/>
          <w:p>
            <w:pPr>
              <w:pStyle w:val="Compact"/>
            </w:pPr>
            <w:r>
              <w:t xml:space="preserve">—</w:t>
            </w:r>
          </w:p>
        </w:tc>
      </w:tr>
      <w:tr>
        <w:tc>
          <w:tcPr/>
          <w:p>
            <w:pPr>
              <w:pStyle w:val="Compact"/>
            </w:pPr>
            <w:r>
              <w:t xml:space="preserve">Reporting</w:t>
            </w:r>
          </w:p>
        </w:tc>
        <w:tc>
          <w:tcPr/>
          <w:p>
            <w:pPr>
              <w:pStyle w:val="Compact"/>
            </w:pPr>
            <w:r>
              <w:rPr>
                <w:b/>
                <w:bCs/>
              </w:rPr>
              <w:t xml:space="preserve">Devices</w:t>
            </w:r>
            <w:r>
              <w:t xml:space="preserve"> </w:t>
            </w:r>
            <w:r>
              <w:t xml:space="preserve">&gt;</w:t>
            </w:r>
            <w:r>
              <w:t xml:space="preserve"> </w:t>
            </w:r>
            <w:r>
              <w:rPr>
                <w:b/>
                <w:bCs/>
              </w:rPr>
              <w:t xml:space="preserve">Monitor</w:t>
            </w:r>
            <w:r>
              <w:t xml:space="preserve"> </w:t>
            </w:r>
            <w:r>
              <w:t xml:space="preserve">&gt;</w:t>
            </w:r>
            <w:r>
              <w:t xml:space="preserve"> </w:t>
            </w:r>
            <w:r>
              <w:rPr>
                <w:b/>
                <w:bCs/>
              </w:rPr>
              <w:t xml:space="preserve">Encryption report</w:t>
            </w:r>
          </w:p>
        </w:tc>
        <w:tc>
          <w:tcPr/>
          <w:p>
            <w:pPr>
              <w:pStyle w:val="Compact"/>
            </w:pPr>
            <w:r>
              <w:t xml:space="preserve">—</w:t>
            </w:r>
          </w:p>
        </w:tc>
      </w:tr>
    </w:tbl>
    <w:p>
      <w:pPr>
        <w:pStyle w:val="BodyText"/>
      </w:pPr>
      <w:r>
        <w:t xml:space="preserve">The source combined silent encryption with a required TPM and PIN for every device. Those can’t coexist: silent BitLocker requires that devices don’t need a TPM startup PIN or startup key, because both need user interaction.</w:t>
      </w:r>
      <w:r>
        <w:rPr>
          <w:rStyle w:val="FootnoteReference"/>
        </w:rPr>
        <w:footnoteReference w:id="131"/>
      </w:r>
      <w:r>
        <w:t xml:space="preserve"> </w:t>
      </w:r>
      <w:r>
        <w:t xml:space="preserve">The program splits them. Standard and kiosk devices encrypt silently with TPM-only protectors; Tier 0 devices, which are provisioned by hand, use TPM plus PIN. The two groups get separate disk encryption policies, so the settings never conflict on one device.</w:t>
      </w:r>
    </w:p>
    <w:p>
      <w:pPr>
        <w:pStyle w:val="BodyText"/>
      </w:pPr>
      <w:r>
        <w:t xml:space="preserve">With silent encryption, recovery keys go to Entra ID automatically, which needs the device to be Entra joined.</w:t>
      </w:r>
      <w:r>
        <w:rPr>
          <w:rStyle w:val="FootnoteReference"/>
        </w:rPr>
        <w:footnoteReference w:id="133"/>
      </w:r>
      <w:r>
        <w:t xml:space="preserve"> </w:t>
      </w:r>
      <w:r>
        <w:t xml:space="preserve">Chapter 10 covers the operational catch: deleting a device object in Entra ID deletes its recovery keys.</w:t>
      </w:r>
    </w:p>
    <w:bookmarkEnd w:id="134"/>
    <w:bookmarkStart w:id="137" w:name="es-003-firewall"/>
    <w:p>
      <w:pPr>
        <w:pStyle w:val="Heading3"/>
      </w:pPr>
      <w:r>
        <w:t xml:space="preserve">ES-003: firewall</w:t>
      </w:r>
    </w:p>
    <w:p>
      <w:pPr>
        <w:pStyle w:val="FirstParagraph"/>
      </w:pPr>
      <w:r>
        <w:t xml:space="preserve">Replaces the Windows Defender Firewall with Advanced Security GPOs (Computer Configuration &gt; Windows Settings &gt; Security Settings), and absorbs the source’s SC-007 profile and the firewall rows of its SC-001 baseline.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Profile</w:t>
            </w:r>
          </w:p>
        </w:tc>
        <w:tc>
          <w:tcPr/>
          <w:p>
            <w:pPr>
              <w:pStyle w:val="Compact"/>
            </w:pPr>
            <w:r>
              <w:t xml:space="preserve">State</w:t>
            </w:r>
          </w:p>
        </w:tc>
        <w:tc>
          <w:tcPr/>
          <w:p>
            <w:pPr>
              <w:pStyle w:val="Compact"/>
            </w:pPr>
            <w:r>
              <w:t xml:space="preserve">Inbound default</w:t>
            </w:r>
          </w:p>
        </w:tc>
        <w:tc>
          <w:tcPr/>
          <w:p>
            <w:pPr>
              <w:pStyle w:val="Compact"/>
            </w:pPr>
            <w:r>
              <w:t xml:space="preserve">Outbound default</w:t>
            </w:r>
          </w:p>
        </w:tc>
        <w:tc>
          <w:tcPr/>
          <w:p>
            <w:pPr>
              <w:pStyle w:val="Compact"/>
            </w:pPr>
            <w:r>
              <w:t xml:space="preserve">Log dropped packets</w:t>
            </w:r>
          </w:p>
        </w:tc>
        <w:tc>
          <w:tcPr/>
          <w:p>
            <w:pPr>
              <w:pStyle w:val="Compact"/>
            </w:pPr>
            <w:r>
              <w:t xml:space="preserve">Log successful connections</w:t>
            </w:r>
          </w:p>
        </w:tc>
      </w:tr>
      <w:tr>
        <w:tc>
          <w:tcPr/>
          <w:p>
            <w:pPr>
              <w:pStyle w:val="Compact"/>
            </w:pPr>
            <w:r>
              <w:t xml:space="preserve">Domain</w:t>
            </w:r>
          </w:p>
        </w:tc>
        <w:tc>
          <w:tcPr/>
          <w:p>
            <w:pPr>
              <w:pStyle w:val="Compact"/>
            </w:pPr>
            <w:r>
              <w:t xml:space="preserve">On</w:t>
            </w:r>
          </w:p>
        </w:tc>
        <w:tc>
          <w:tcPr/>
          <w:p>
            <w:pPr>
              <w:pStyle w:val="Compact"/>
            </w:pPr>
            <w:r>
              <w:t xml:space="preserve">Block</w:t>
            </w:r>
          </w:p>
        </w:tc>
        <w:tc>
          <w:tcPr/>
          <w:p>
            <w:pPr>
              <w:pStyle w:val="Compact"/>
            </w:pPr>
            <w:r>
              <w:t xml:space="preserve">Allow</w:t>
            </w:r>
          </w:p>
        </w:tc>
        <w:tc>
          <w:tcPr/>
          <w:p>
            <w:pPr>
              <w:pStyle w:val="Compact"/>
            </w:pPr>
            <w:r>
              <w:t xml:space="preserve">Yes</w:t>
            </w:r>
          </w:p>
        </w:tc>
        <w:tc>
          <w:tcPr/>
          <w:p>
            <w:pPr>
              <w:pStyle w:val="Compact"/>
            </w:pPr>
            <w:r>
              <w:t xml:space="preserve">Yes</w:t>
            </w:r>
          </w:p>
        </w:tc>
      </w:tr>
      <w:tr>
        <w:tc>
          <w:tcPr/>
          <w:p>
            <w:pPr>
              <w:pStyle w:val="Compact"/>
            </w:pPr>
            <w:r>
              <w:t xml:space="preserve">Private</w:t>
            </w:r>
          </w:p>
        </w:tc>
        <w:tc>
          <w:tcPr/>
          <w:p>
            <w:pPr>
              <w:pStyle w:val="Compact"/>
            </w:pPr>
            <w:r>
              <w:t xml:space="preserve">On</w:t>
            </w:r>
          </w:p>
        </w:tc>
        <w:tc>
          <w:tcPr/>
          <w:p>
            <w:pPr>
              <w:pStyle w:val="Compact"/>
            </w:pPr>
            <w:r>
              <w:t xml:space="preserve">Block</w:t>
            </w:r>
          </w:p>
        </w:tc>
        <w:tc>
          <w:tcPr/>
          <w:p>
            <w:pPr>
              <w:pStyle w:val="Compact"/>
            </w:pPr>
            <w:r>
              <w:t xml:space="preserve">Allow</w:t>
            </w:r>
          </w:p>
        </w:tc>
        <w:tc>
          <w:tcPr/>
          <w:p>
            <w:pPr>
              <w:pStyle w:val="Compact"/>
            </w:pPr>
            <w:r>
              <w:t xml:space="preserve">Yes</w:t>
            </w:r>
          </w:p>
        </w:tc>
        <w:tc>
          <w:tcPr/>
          <w:p>
            <w:pPr>
              <w:pStyle w:val="Compact"/>
            </w:pPr>
            <w:r>
              <w:t xml:space="preserve">No</w:t>
            </w:r>
          </w:p>
        </w:tc>
      </w:tr>
      <w:tr>
        <w:tc>
          <w:tcPr/>
          <w:p>
            <w:pPr>
              <w:pStyle w:val="Compact"/>
            </w:pPr>
            <w:r>
              <w:t xml:space="preserve">Public</w:t>
            </w:r>
          </w:p>
        </w:tc>
        <w:tc>
          <w:tcPr/>
          <w:p>
            <w:pPr>
              <w:pStyle w:val="Compact"/>
            </w:pPr>
            <w:r>
              <w:t xml:space="preserve">On</w:t>
            </w:r>
          </w:p>
        </w:tc>
        <w:tc>
          <w:tcPr/>
          <w:p>
            <w:pPr>
              <w:pStyle w:val="Compact"/>
            </w:pPr>
            <w:r>
              <w:t xml:space="preserve">Block</w:t>
            </w:r>
          </w:p>
        </w:tc>
        <w:tc>
          <w:tcPr/>
          <w:p>
            <w:pPr>
              <w:pStyle w:val="Compact"/>
            </w:pPr>
            <w:r>
              <w:t xml:space="preserve">Block</w:t>
            </w:r>
          </w:p>
        </w:tc>
        <w:tc>
          <w:tcPr/>
          <w:p>
            <w:pPr>
              <w:pStyle w:val="Compact"/>
            </w:pPr>
            <w:r>
              <w:t xml:space="preserve">Yes</w:t>
            </w:r>
          </w:p>
        </w:tc>
        <w:tc>
          <w:tcPr/>
          <w:p>
            <w:pPr>
              <w:pStyle w:val="Compact"/>
            </w:pPr>
            <w:r>
              <w:t xml:space="preserve">Yes</w:t>
            </w:r>
          </w:p>
        </w:tc>
      </w:tr>
    </w:tbl>
    <w:p>
      <w:pPr>
        <w:pStyle w:val="BodyText"/>
      </w:pPr>
      <w:r>
        <w:t xml:space="preserve">The source’s two profiles disagreed on the public profile’s outbound default (Allow in SC-001, Block in SC-007). With one owner the question has one answer; the program blocks outbound on public networks and allows the management and line-of-business rules it needs.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Rule</w:t>
            </w:r>
          </w:p>
        </w:tc>
        <w:tc>
          <w:tcPr/>
          <w:p>
            <w:pPr>
              <w:pStyle w:val="Compact"/>
            </w:pPr>
            <w:r>
              <w:t xml:space="preserve">Protocol</w:t>
            </w:r>
          </w:p>
        </w:tc>
        <w:tc>
          <w:tcPr/>
          <w:p>
            <w:pPr>
              <w:pStyle w:val="Compact"/>
            </w:pPr>
            <w:r>
              <w:t xml:space="preserve">Port</w:t>
            </w:r>
          </w:p>
        </w:tc>
        <w:tc>
          <w:tcPr/>
          <w:p>
            <w:pPr>
              <w:pStyle w:val="Compact"/>
            </w:pPr>
            <w:r>
              <w:t xml:space="preserve">Source</w:t>
            </w:r>
          </w:p>
        </w:tc>
        <w:tc>
          <w:tcPr/>
          <w:p>
            <w:pPr>
              <w:pStyle w:val="Compact"/>
            </w:pPr>
            <w:r>
              <w:t xml:space="preserve">Action</w:t>
            </w:r>
          </w:p>
        </w:tc>
        <w:tc>
          <w:tcPr/>
          <w:p>
            <w:pPr>
              <w:pStyle w:val="Compact"/>
            </w:pPr>
            <w:r>
              <w:t xml:space="preserve">Profile</w:t>
            </w:r>
          </w:p>
        </w:tc>
      </w:tr>
      <w:tr>
        <w:tc>
          <w:tcPr/>
          <w:p>
            <w:pPr>
              <w:pStyle w:val="Compact"/>
            </w:pPr>
            <w:r>
              <w:t xml:space="preserve">WinRM (HTTP)</w:t>
            </w:r>
          </w:p>
        </w:tc>
        <w:tc>
          <w:tcPr/>
          <w:p>
            <w:pPr>
              <w:pStyle w:val="Compact"/>
            </w:pPr>
            <w:r>
              <w:t xml:space="preserve">TCP</w:t>
            </w:r>
          </w:p>
        </w:tc>
        <w:tc>
          <w:tcPr/>
          <w:p>
            <w:pPr>
              <w:pStyle w:val="Compact"/>
            </w:pPr>
            <w:r>
              <w:t xml:space="preserve">5985</w:t>
            </w:r>
          </w:p>
        </w:tc>
        <w:tc>
          <w:tcPr/>
          <w:p>
            <w:pPr>
              <w:pStyle w:val="Compact"/>
            </w:pPr>
            <w:r>
              <w:t xml:space="preserve">Tier 0 management subnet</w:t>
            </w:r>
          </w:p>
        </w:tc>
        <w:tc>
          <w:tcPr/>
          <w:p>
            <w:pPr>
              <w:pStyle w:val="Compact"/>
            </w:pPr>
            <w:r>
              <w:t xml:space="preserve">Allow</w:t>
            </w:r>
          </w:p>
        </w:tc>
        <w:tc>
          <w:tcPr/>
          <w:p>
            <w:pPr>
              <w:pStyle w:val="Compact"/>
            </w:pPr>
            <w:r>
              <w:t xml:space="preserve">Domain</w:t>
            </w:r>
          </w:p>
        </w:tc>
      </w:tr>
      <w:tr>
        <w:tc>
          <w:tcPr/>
          <w:p>
            <w:pPr>
              <w:pStyle w:val="Compact"/>
            </w:pPr>
            <w:r>
              <w:t xml:space="preserve">WinRM (HTTPS)</w:t>
            </w:r>
          </w:p>
        </w:tc>
        <w:tc>
          <w:tcPr/>
          <w:p>
            <w:pPr>
              <w:pStyle w:val="Compact"/>
            </w:pPr>
            <w:r>
              <w:t xml:space="preserve">TCP</w:t>
            </w:r>
          </w:p>
        </w:tc>
        <w:tc>
          <w:tcPr/>
          <w:p>
            <w:pPr>
              <w:pStyle w:val="Compact"/>
            </w:pPr>
            <w:r>
              <w:t xml:space="preserve">5986</w:t>
            </w:r>
          </w:p>
        </w:tc>
        <w:tc>
          <w:tcPr/>
          <w:p>
            <w:pPr>
              <w:pStyle w:val="Compact"/>
            </w:pPr>
            <w:r>
              <w:t xml:space="preserve">Tier 0 management subnet</w:t>
            </w:r>
          </w:p>
        </w:tc>
        <w:tc>
          <w:tcPr/>
          <w:p>
            <w:pPr>
              <w:pStyle w:val="Compact"/>
            </w:pPr>
            <w:r>
              <w:t xml:space="preserve">Allow</w:t>
            </w:r>
          </w:p>
        </w:tc>
        <w:tc>
          <w:tcPr/>
          <w:p>
            <w:pPr>
              <w:pStyle w:val="Compact"/>
            </w:pPr>
            <w:r>
              <w:t xml:space="preserve">Domain</w:t>
            </w:r>
          </w:p>
        </w:tc>
      </w:tr>
      <w:tr>
        <w:tc>
          <w:tcPr/>
          <w:p>
            <w:pPr>
              <w:pStyle w:val="Compact"/>
            </w:pPr>
            <w:r>
              <w:t xml:space="preserve">RDP</w:t>
            </w:r>
          </w:p>
        </w:tc>
        <w:tc>
          <w:tcPr/>
          <w:p>
            <w:pPr>
              <w:pStyle w:val="Compact"/>
            </w:pPr>
            <w:r>
              <w:t xml:space="preserve">TCP</w:t>
            </w:r>
          </w:p>
        </w:tc>
        <w:tc>
          <w:tcPr/>
          <w:p>
            <w:pPr>
              <w:pStyle w:val="Compact"/>
            </w:pPr>
            <w:r>
              <w:t xml:space="preserve">3389</w:t>
            </w:r>
          </w:p>
        </w:tc>
        <w:tc>
          <w:tcPr/>
          <w:p>
            <w:pPr>
              <w:pStyle w:val="Compact"/>
            </w:pPr>
            <w:r>
              <w:t xml:space="preserve">Tier 0 privileged access workstation subnet only</w:t>
            </w:r>
          </w:p>
        </w:tc>
        <w:tc>
          <w:tcPr/>
          <w:p>
            <w:pPr>
              <w:pStyle w:val="Compact"/>
            </w:pPr>
            <w:r>
              <w:t xml:space="preserve">Allow</w:t>
            </w:r>
          </w:p>
        </w:tc>
        <w:tc>
          <w:tcPr/>
          <w:p>
            <w:pPr>
              <w:pStyle w:val="Compact"/>
            </w:pPr>
            <w:r>
              <w:t xml:space="preserve">Domain</w:t>
            </w:r>
          </w:p>
        </w:tc>
      </w:tr>
      <w:tr>
        <w:tc>
          <w:tcPr/>
          <w:p>
            <w:pPr>
              <w:pStyle w:val="Compact"/>
            </w:pPr>
            <w:r>
              <w:t xml:space="preserve">ICMP echo request</w:t>
            </w:r>
          </w:p>
        </w:tc>
        <w:tc>
          <w:tcPr/>
          <w:p>
            <w:pPr>
              <w:pStyle w:val="Compact"/>
            </w:pPr>
            <w:r>
              <w:t xml:space="preserve">ICMPv4</w:t>
            </w:r>
          </w:p>
        </w:tc>
        <w:tc>
          <w:tcPr/>
          <w:p>
            <w:pPr>
              <w:pStyle w:val="Compact"/>
            </w:pPr>
            <w:r>
              <w:t xml:space="preserve">—</w:t>
            </w:r>
          </w:p>
        </w:tc>
        <w:tc>
          <w:tcPr/>
          <w:p>
            <w:pPr>
              <w:pStyle w:val="Compact"/>
            </w:pPr>
            <w:r>
              <w:t xml:space="preserve">Management subnet</w:t>
            </w:r>
          </w:p>
        </w:tc>
        <w:tc>
          <w:tcPr/>
          <w:p>
            <w:pPr>
              <w:pStyle w:val="Compact"/>
            </w:pPr>
            <w:r>
              <w:t xml:space="preserve">Allow</w:t>
            </w:r>
          </w:p>
        </w:tc>
        <w:tc>
          <w:tcPr/>
          <w:p>
            <w:pPr>
              <w:pStyle w:val="Compact"/>
            </w:pPr>
            <w:r>
              <w:t xml:space="preserve">Domain</w:t>
            </w:r>
          </w:p>
        </w:tc>
      </w:tr>
      <w:tr>
        <w:tc>
          <w:tcPr/>
          <w:p>
            <w:pPr>
              <w:pStyle w:val="Compact"/>
            </w:pPr>
            <w:r>
              <w:t xml:space="preserve">Line-of-business applications</w:t>
            </w:r>
          </w:p>
        </w:tc>
        <w:tc>
          <w:tcPr/>
          <w:p>
            <w:pPr>
              <w:pStyle w:val="Compact"/>
            </w:pPr>
            <w:r>
              <w:t xml:space="preserve">Per application</w:t>
            </w:r>
          </w:p>
        </w:tc>
        <w:tc>
          <w:tcPr/>
          <w:p>
            <w:pPr>
              <w:pStyle w:val="Compact"/>
            </w:pPr>
            <w:r>
              <w:t xml:space="preserve">Per application</w:t>
            </w:r>
          </w:p>
        </w:tc>
        <w:tc>
          <w:tcPr/>
          <w:p>
            <w:pPr>
              <w:pStyle w:val="Compact"/>
            </w:pPr>
            <w:r>
              <w:t xml:space="preserve">Per application</w:t>
            </w:r>
          </w:p>
        </w:tc>
        <w:tc>
          <w:tcPr/>
          <w:p>
            <w:pPr>
              <w:pStyle w:val="Compact"/>
            </w:pPr>
            <w:r>
              <w:t xml:space="preserve">Allow</w:t>
            </w:r>
          </w:p>
        </w:tc>
        <w:tc>
          <w:tcPr/>
          <w:p>
            <w:pPr>
              <w:pStyle w:val="Compact"/>
            </w:pPr>
            <w:r>
              <w:t xml:space="preserve">As required</w:t>
            </w:r>
          </w:p>
        </w:tc>
      </w:tr>
    </w:tbl>
    <w:p>
      <w:pPr>
        <w:pStyle w:val="BodyText"/>
      </w:pPr>
      <w:r>
        <w:t xml:space="preserve">On an Entra-joined device that isn’t domain joined, the domain profile doesn’t apply, so the management rules need a private-profile equivalent scoped to the same source subnets. Group Policy analytics can’t migrate firewall rules; they are built here by hand.</w:t>
      </w:r>
      <w:r>
        <w:rPr>
          <w:rStyle w:val="FootnoteReference"/>
        </w:rPr>
        <w:footnoteReference w:id="135"/>
      </w:r>
    </w:p>
    <w:bookmarkEnd w:id="137"/>
    <w:bookmarkStart w:id="141" w:name="es-004-endpoint-detection-and-response"/>
    <w:p>
      <w:pPr>
        <w:pStyle w:val="Heading3"/>
      </w:pPr>
      <w:r>
        <w:t xml:space="preserve">ES-004: endpoint detection and response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Notes</w:t>
            </w:r>
          </w:p>
        </w:tc>
      </w:tr>
      <w:tr>
        <w:tc>
          <w:tcPr/>
          <w:p>
            <w:pPr>
              <w:pStyle w:val="Compact"/>
            </w:pPr>
            <w:r>
              <w:t xml:space="preserve">Microsoft Defender for Endpoint client configuration package type</w:t>
            </w:r>
          </w:p>
        </w:tc>
        <w:tc>
          <w:tcPr/>
          <w:p>
            <w:pPr>
              <w:pStyle w:val="Compact"/>
            </w:pPr>
            <w:r>
              <w:t xml:space="preserve">Auto from connector</w:t>
            </w:r>
          </w:p>
        </w:tc>
        <w:tc>
          <w:tcPr/>
          <w:p>
            <w:pPr>
              <w:pStyle w:val="Compact"/>
            </w:pPr>
            <w:r>
              <w:t xml:space="preserve">Needs the Intune–Defender for Endpoint connection</w:t>
            </w:r>
          </w:p>
        </w:tc>
      </w:tr>
      <w:tr>
        <w:tc>
          <w:tcPr/>
          <w:p>
            <w:pPr>
              <w:pStyle w:val="Compact"/>
            </w:pPr>
            <w:r>
              <w:t xml:space="preserve">Sample sharing</w:t>
            </w:r>
          </w:p>
        </w:tc>
        <w:tc>
          <w:tcPr/>
          <w:p>
            <w:pPr>
              <w:pStyle w:val="Compact"/>
            </w:pPr>
            <w:r>
              <w:t xml:space="preserve">All</w:t>
            </w:r>
          </w:p>
        </w:tc>
        <w:tc>
          <w:tcPr/>
          <w:p>
            <w:pPr>
              <w:pStyle w:val="Compact"/>
            </w:pPr>
            <w:r>
              <w:t xml:space="preserve">Matches the program’s Defender data-handling decision</w:t>
            </w:r>
          </w:p>
        </w:tc>
      </w:tr>
    </w:tbl>
    <w:p>
      <w:pPr>
        <w:pStyle w:val="BodyText"/>
      </w:pPr>
      <w:r>
        <w:t xml:space="preserve">The source listed four more settings for this policy. Telemetry reporting frequency is deprecated and has no effect on new devices.</w:t>
      </w:r>
      <w:r>
        <w:rPr>
          <w:rStyle w:val="FootnoteReference"/>
        </w:rPr>
        <w:footnoteReference w:id="138"/>
      </w:r>
      <w:r>
        <w:t xml:space="preserve"> </w:t>
      </w:r>
      <w:r>
        <w:t xml:space="preserve">Automated investigation level, live response and web content filtering aren’t EDR policy settings in Intune; they are configured in the Microsoft Defender portal, and</w:t>
      </w:r>
      <w:r>
        <w:t xml:space="preserve"> </w:t>
      </w:r>
      <w:hyperlink r:id="rId140">
        <w:r>
          <w:rPr>
            <w:rStyle w:val="Hyperlink"/>
          </w:rPr>
          <w:t xml:space="preserve">Chapter 10</w:t>
        </w:r>
      </w:hyperlink>
      <w:r>
        <w:t xml:space="preserve"> </w:t>
      </w:r>
      <w:r>
        <w:t xml:space="preserve">sets them there.</w:t>
      </w:r>
    </w:p>
    <w:bookmarkEnd w:id="141"/>
    <w:bookmarkStart w:id="145" w:name="es-005-attack-surface-reduction"/>
    <w:p>
      <w:pPr>
        <w:pStyle w:val="Heading3"/>
      </w:pPr>
      <w:r>
        <w:t xml:space="preserve">ES-005: attack surface reduction</w:t>
      </w:r>
    </w:p>
    <w:p>
      <w:pPr>
        <w:pStyle w:val="FirstParagraph"/>
      </w:pPr>
      <w:r>
        <w:rPr>
          <w:b/>
          <w:bCs/>
        </w:rPr>
        <w:t xml:space="preserve">Deployment:</w:t>
      </w:r>
      <w:r>
        <w:t xml:space="preserve"> </w:t>
      </w:r>
      <w:r>
        <w:t xml:space="preserve">all rules in audit mode for 30 days, then block after confirming no business-critical impact.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Rule GUID</w:t>
            </w:r>
          </w:p>
        </w:tc>
        <w:tc>
          <w:tcPr/>
          <w:p>
            <w:pPr>
              <w:pStyle w:val="Compact"/>
            </w:pPr>
            <w:r>
              <w:t xml:space="preserve">Rule</w:t>
            </w:r>
          </w:p>
        </w:tc>
        <w:tc>
          <w:tcPr/>
          <w:p>
            <w:pPr>
              <w:pStyle w:val="Compact"/>
            </w:pPr>
            <w:r>
              <w:t xml:space="preserve">Phase 1</w:t>
            </w:r>
          </w:p>
        </w:tc>
        <w:tc>
          <w:tcPr/>
          <w:p>
            <w:pPr>
              <w:pStyle w:val="Compact"/>
            </w:pPr>
            <w:r>
              <w:t xml:space="preserve">Phase 2</w:t>
            </w:r>
          </w:p>
        </w:tc>
      </w:tr>
      <w:tr>
        <w:tc>
          <w:tcPr/>
          <w:p>
            <w:pPr>
              <w:pStyle w:val="Compact"/>
            </w:pPr>
            <w:r>
              <w:rPr>
                <w:rStyle w:val="VerbatimChar"/>
              </w:rPr>
              <w:t xml:space="preserve">56a863a9-875e-4185-98a7-b882c64b5ce5</w:t>
            </w:r>
          </w:p>
        </w:tc>
        <w:tc>
          <w:tcPr/>
          <w:p>
            <w:pPr>
              <w:pStyle w:val="Compact"/>
            </w:pPr>
            <w:r>
              <w:t xml:space="preserve">Block abuse of exploited vulnerable signed drivers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e6db77e5-3df2-4cf1-b95a-636979351e5b</w:t>
            </w:r>
          </w:p>
        </w:tc>
        <w:tc>
          <w:tcPr/>
          <w:p>
            <w:pPr>
              <w:pStyle w:val="Compact"/>
            </w:pPr>
            <w:r>
              <w:t xml:space="preserve">Block persistence through WMI event subscription</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be9ba2d9-53ea-4cdc-84e5-9b1eeee46550</w:t>
            </w:r>
          </w:p>
        </w:tc>
        <w:tc>
          <w:tcPr/>
          <w:p>
            <w:pPr>
              <w:pStyle w:val="Compact"/>
            </w:pPr>
            <w:r>
              <w:t xml:space="preserve">Block executable content from email client and webmail</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d4f940ab-401b-4efc-aadc-ad5f3c50688a</w:t>
            </w:r>
          </w:p>
        </w:tc>
        <w:tc>
          <w:tcPr/>
          <w:p>
            <w:pPr>
              <w:pStyle w:val="Compact"/>
            </w:pPr>
            <w:r>
              <w:t xml:space="preserve">Block all Office applications from creating child processes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d3e037e1-3eb8-44c8-a917-57927947596d</w:t>
            </w:r>
          </w:p>
        </w:tc>
        <w:tc>
          <w:tcPr/>
          <w:p>
            <w:pPr>
              <w:pStyle w:val="Compact"/>
            </w:pPr>
            <w:r>
              <w:t xml:space="preserve">Block JavaScript or VBScript from launching downloaded executable content</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5beb7efe-fd9a-4556-801d-275e5ffc04cc</w:t>
            </w:r>
          </w:p>
        </w:tc>
        <w:tc>
          <w:tcPr/>
          <w:p>
            <w:pPr>
              <w:pStyle w:val="Compact"/>
            </w:pPr>
            <w:r>
              <w:t xml:space="preserve">Block execution of potentially obfuscated scripts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92e97fa1-2edf-4476-bdd6-9dd0b4dddc7b</w:t>
            </w:r>
          </w:p>
        </w:tc>
        <w:tc>
          <w:tcPr/>
          <w:p>
            <w:pPr>
              <w:pStyle w:val="Compact"/>
            </w:pPr>
            <w:r>
              <w:t xml:space="preserve">Block Win32 API calls from Office macros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9e6c4e1f-7d60-472f-ba1a-a39ef669e4b2</w:t>
            </w:r>
          </w:p>
        </w:tc>
        <w:tc>
          <w:tcPr/>
          <w:p>
            <w:pPr>
              <w:pStyle w:val="Compact"/>
            </w:pPr>
            <w:r>
              <w:t xml:space="preserve">Block credential stealing from the Windows local security authority subsystem</w:t>
            </w:r>
          </w:p>
        </w:tc>
        <w:tc>
          <w:tcPr/>
          <w:p>
            <w:pPr>
              <w:pStyle w:val="Compact"/>
            </w:pPr>
            <w:r>
              <w:t xml:space="preserve">Audit, or straight to block</w:t>
            </w:r>
          </w:p>
        </w:tc>
        <w:tc>
          <w:tcPr/>
          <w:p>
            <w:pPr>
              <w:pStyle w:val="Compact"/>
            </w:pPr>
            <w:r>
              <w:t xml:space="preserve">Block</w:t>
            </w:r>
          </w:p>
        </w:tc>
      </w:tr>
      <w:tr>
        <w:tc>
          <w:tcPr/>
          <w:p>
            <w:pPr>
              <w:pStyle w:val="Compact"/>
            </w:pPr>
            <w:r>
              <w:rPr>
                <w:rStyle w:val="VerbatimChar"/>
              </w:rPr>
              <w:t xml:space="preserve">d1e49aac-8f56-4280-b9ba-993a6d77406c</w:t>
            </w:r>
          </w:p>
        </w:tc>
        <w:tc>
          <w:tcPr/>
          <w:p>
            <w:pPr>
              <w:pStyle w:val="Compact"/>
            </w:pPr>
            <w:r>
              <w:t xml:space="preserve">Block process creations originating from PSExec and WMI commands</w:t>
            </w:r>
          </w:p>
        </w:tc>
        <w:tc>
          <w:tcPr/>
          <w:p>
            <w:pPr>
              <w:pStyle w:val="Compact"/>
            </w:pPr>
            <w:r>
              <w:t xml:space="preserve">Audit</w:t>
            </w:r>
          </w:p>
        </w:tc>
        <w:tc>
          <w:tcPr/>
          <w:p>
            <w:pPr>
              <w:pStyle w:val="Compact"/>
            </w:pPr>
            <w:r>
              <w:t xml:space="preserve">Block, except where Configuration Manager manages the device</w:t>
            </w:r>
          </w:p>
        </w:tc>
      </w:tr>
      <w:tr>
        <w:tc>
          <w:tcPr/>
          <w:p>
            <w:pPr>
              <w:pStyle w:val="Compact"/>
            </w:pPr>
            <w:r>
              <w:rPr>
                <w:rStyle w:val="VerbatimChar"/>
              </w:rPr>
              <w:t xml:space="preserve">b2b3f03d-6a65-4f7b-a9c7-1c7ef74a9ba4</w:t>
            </w:r>
          </w:p>
        </w:tc>
        <w:tc>
          <w:tcPr/>
          <w:p>
            <w:pPr>
              <w:pStyle w:val="Compact"/>
            </w:pPr>
            <w:r>
              <w:t xml:space="preserve">Block untrusted and unsigned processes that run from USB</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3b576869-a4ec-4529-8536-b80a7769e899</w:t>
            </w:r>
          </w:p>
        </w:tc>
        <w:tc>
          <w:tcPr/>
          <w:p>
            <w:pPr>
              <w:pStyle w:val="Compact"/>
            </w:pPr>
            <w:r>
              <w:t xml:space="preserve">Block Office applications from creating executable content</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75668c1f-73b5-4cf0-bb93-3ecf5cb7cc84</w:t>
            </w:r>
          </w:p>
        </w:tc>
        <w:tc>
          <w:tcPr/>
          <w:p>
            <w:pPr>
              <w:pStyle w:val="Compact"/>
            </w:pPr>
            <w:r>
              <w:t xml:space="preserve">Block Office applications from injecting code into other processes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7674ba52-37eb-4a4f-a9a1-f0f9a1619a2c</w:t>
            </w:r>
          </w:p>
        </w:tc>
        <w:tc>
          <w:tcPr/>
          <w:p>
            <w:pPr>
              <w:pStyle w:val="Compact"/>
            </w:pPr>
            <w:r>
              <w:t xml:space="preserve">Block Adobe Reader from creating child processes</w:t>
            </w:r>
          </w:p>
        </w:tc>
        <w:tc>
          <w:tcPr/>
          <w:p>
            <w:pPr>
              <w:pStyle w:val="Compact"/>
            </w:pPr>
            <w:r>
              <w:t xml:space="preserve">Audit</w:t>
            </w:r>
          </w:p>
        </w:tc>
        <w:tc>
          <w:tcPr/>
          <w:p>
            <w:pPr>
              <w:pStyle w:val="Compact"/>
            </w:pPr>
            <w:r>
              <w:t xml:space="preserve">Block</w:t>
            </w:r>
          </w:p>
        </w:tc>
      </w:tr>
      <w:tr>
        <w:tc>
          <w:tcPr/>
          <w:p>
            <w:pPr>
              <w:pStyle w:val="Compact"/>
            </w:pPr>
            <w:r>
              <w:rPr>
                <w:rStyle w:val="VerbatimChar"/>
              </w:rPr>
              <w:t xml:space="preserve">c1db55ab-c21a-4637-bb3f-a12568109d35</w:t>
            </w:r>
          </w:p>
        </w:tc>
        <w:tc>
          <w:tcPr/>
          <w:p>
            <w:pPr>
              <w:pStyle w:val="Compact"/>
            </w:pPr>
            <w:r>
              <w:t xml:space="preserve">Use advanced protection against ransomware</w:t>
            </w:r>
          </w:p>
        </w:tc>
        <w:tc>
          <w:tcPr/>
          <w:p>
            <w:pPr>
              <w:pStyle w:val="Compact"/>
            </w:pPr>
            <w:r>
              <w:t xml:space="preserve">Audit</w:t>
            </w:r>
          </w:p>
        </w:tc>
        <w:tc>
          <w:tcPr/>
          <w:p>
            <w:pPr>
              <w:pStyle w:val="Compact"/>
            </w:pPr>
            <w:r>
              <w:t xml:space="preserve">Block</w:t>
            </w:r>
          </w:p>
        </w:tc>
      </w:tr>
    </w:tbl>
    <w:p>
      <w:pPr>
        <w:pStyle w:val="BodyText"/>
      </w:pPr>
      <w:r>
        <w:t xml:space="preserve">The source’s twelve GUIDs are correct. The program adds the first two, which Microsoft classes as standard protection rules alongside the LSASS rule.</w:t>
      </w:r>
      <w:r>
        <w:rPr>
          <w:rStyle w:val="FootnoteReference"/>
        </w:rPr>
        <w:footnoteReference w:id="142"/>
      </w:r>
      <w:r>
        <w:t xml:space="preserve"> </w:t>
      </w:r>
      <w:r>
        <w:t xml:space="preserve">Microsoft’s rule reference adds four rollout notes: the PSExec and WMI rule shouldn’t be enabled on devices Configuration Manager manages, because its client depends on WMI; the LSASS rule adds nothing where LSA protection and Credential Guard are on; the LSASS rule produces a large volume of audit events that are almost all safe to ignore, so you can skip audit for it and start blocking on a small set of devices; and the ransomware and obfuscated-script rules need cloud-delivered protection.</w:t>
      </w:r>
      <w:r>
        <w:rPr>
          <w:rStyle w:val="FootnoteReference"/>
        </w:rPr>
        <w:footnoteReference w:id="144"/>
      </w:r>
    </w:p>
    <w:bookmarkEnd w:id="145"/>
    <w:bookmarkStart w:id="155" w:name="es-006-account-protection"/>
    <w:p>
      <w:pPr>
        <w:pStyle w:val="Heading3"/>
      </w:pPr>
      <w:r>
        <w:t xml:space="preserve">ES-006: account protection</w:t>
      </w:r>
    </w:p>
    <w:p>
      <w:pPr>
        <w:pStyle w:val="FirstParagraph"/>
      </w:pPr>
      <w:r>
        <w:t xml:space="preserve">Absorbs the source’s SC-008 Windows LAPS profile.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Value</w:t>
            </w:r>
          </w:p>
        </w:tc>
        <w:tc>
          <w:tcPr/>
          <w:p>
            <w:pPr>
              <w:pStyle w:val="Compact"/>
            </w:pPr>
            <w:r>
              <w:t xml:space="preserve">Target</w:t>
            </w:r>
          </w:p>
        </w:tc>
      </w:tr>
      <w:tr>
        <w:tc>
          <w:tcPr/>
          <w:p>
            <w:pPr>
              <w:pStyle w:val="Compact"/>
            </w:pPr>
            <w:r>
              <w:t xml:space="preserve">Credential Guard</w:t>
            </w:r>
          </w:p>
        </w:tc>
        <w:tc>
          <w:tcPr/>
          <w:p>
            <w:pPr>
              <w:pStyle w:val="Compact"/>
            </w:pPr>
            <w:r>
              <w:t xml:space="preserve">Enabled with UEFI lock</w:t>
            </w:r>
          </w:p>
        </w:tc>
        <w:tc>
          <w:tcPr/>
          <w:p>
            <w:pPr>
              <w:pStyle w:val="Compact"/>
            </w:pPr>
            <w:r>
              <w:t xml:space="preserve">Tier 0 (</w:t>
            </w:r>
            <w:r>
              <w:rPr>
                <w:rStyle w:val="VerbatimChar"/>
              </w:rPr>
              <w:t xml:space="preserve">extensionAttribute11</w:t>
            </w:r>
            <w:r>
              <w:t xml:space="preserve"> </w:t>
            </w:r>
            <w:r>
              <w:t xml:space="preserve">equals</w:t>
            </w:r>
            <w:r>
              <w:t xml:space="preserve"> </w:t>
            </w:r>
            <w:r>
              <w:rPr>
                <w:rStyle w:val="VerbatimChar"/>
              </w:rPr>
              <w:t xml:space="preserve">Tier0</w:t>
            </w:r>
            <w:r>
              <w:t xml:space="preserve">)</w:t>
            </w:r>
          </w:p>
        </w:tc>
      </w:tr>
      <w:tr>
        <w:tc>
          <w:tcPr/>
          <w:p>
            <w:pPr>
              <w:pStyle w:val="Compact"/>
            </w:pPr>
            <w:r>
              <w:t xml:space="preserve">Credential Guard</w:t>
            </w:r>
          </w:p>
        </w:tc>
        <w:tc>
          <w:tcPr/>
          <w:p>
            <w:pPr>
              <w:pStyle w:val="Compact"/>
            </w:pPr>
            <w:r>
              <w:t xml:space="preserve">Enabled without lock</w:t>
            </w:r>
          </w:p>
        </w:tc>
        <w:tc>
          <w:tcPr/>
          <w:p>
            <w:pPr>
              <w:pStyle w:val="Compact"/>
            </w:pPr>
            <w:r>
              <w:t xml:space="preserve">Tier 1 and Tier 2</w:t>
            </w:r>
          </w:p>
        </w:tc>
      </w:tr>
      <w:tr>
        <w:tc>
          <w:tcPr/>
          <w:p>
            <w:pPr>
              <w:pStyle w:val="Compact"/>
            </w:pPr>
            <w:r>
              <w:t xml:space="preserve">Windows Hello for Business</w:t>
            </w:r>
          </w:p>
        </w:tc>
        <w:tc>
          <w:tcPr/>
          <w:p>
            <w:pPr>
              <w:pStyle w:val="Compact"/>
            </w:pPr>
            <w:r>
              <w:t xml:space="preserve">Required</w:t>
            </w:r>
          </w:p>
        </w:tc>
        <w:tc>
          <w:tcPr/>
          <w:p>
            <w:pPr>
              <w:pStyle w:val="Compact"/>
            </w:pPr>
            <w:r>
              <w:t xml:space="preserve">All devices</w:t>
            </w:r>
          </w:p>
        </w:tc>
      </w:tr>
      <w:tr>
        <w:tc>
          <w:tcPr/>
          <w:p>
            <w:pPr>
              <w:pStyle w:val="Compact"/>
            </w:pPr>
            <w:r>
              <w:t xml:space="preserve">Windows Hello for Business minimum PIN length</w:t>
            </w:r>
          </w:p>
        </w:tc>
        <w:tc>
          <w:tcPr/>
          <w:p>
            <w:pPr>
              <w:pStyle w:val="Compact"/>
            </w:pPr>
            <w:r>
              <w:t xml:space="preserve">6</w:t>
            </w:r>
          </w:p>
        </w:tc>
        <w:tc>
          <w:tcPr/>
          <w:p>
            <w:pPr>
              <w:pStyle w:val="Compact"/>
            </w:pPr>
            <w:r>
              <w:t xml:space="preserve">All devices</w:t>
            </w:r>
          </w:p>
        </w:tc>
      </w:tr>
      <w:tr>
        <w:tc>
          <w:tcPr/>
          <w:p>
            <w:pPr>
              <w:pStyle w:val="Compact"/>
            </w:pPr>
            <w:r>
              <w:t xml:space="preserve">Biometrics</w:t>
            </w:r>
          </w:p>
        </w:tc>
        <w:tc>
          <w:tcPr/>
          <w:p>
            <w:pPr>
              <w:pStyle w:val="Compact"/>
            </w:pPr>
            <w:r>
              <w:t xml:space="preserve">Allowed</w:t>
            </w:r>
          </w:p>
        </w:tc>
        <w:tc>
          <w:tcPr/>
          <w:p>
            <w:pPr>
              <w:pStyle w:val="Compact"/>
            </w:pPr>
            <w:r>
              <w:t xml:space="preserve">All devices</w:t>
            </w:r>
          </w:p>
        </w:tc>
      </w:tr>
    </w:tbl>
    <w:p>
      <w:pPr>
        <w:pStyle w:val="BodyText"/>
      </w:pPr>
      <w:r>
        <w:t xml:space="preserve">Credential Guard needs Windows Enterprise or Education; it isn’t available on Windows Pro.</w:t>
      </w:r>
      <w:r>
        <w:rPr>
          <w:rStyle w:val="FootnoteReference"/>
        </w:rPr>
        <w:footnoteReference w:id="146"/>
      </w:r>
      <w:r>
        <w:t xml:space="preserve"> </w:t>
      </w:r>
      <w:r>
        <w:t xml:space="preserve">From Windows 11, version 22H2 it is on by default, without UEFI lock, on devices that meet the license and hardware requirements and haven’t been configured to disable it.</w:t>
      </w:r>
      <w:r>
        <w:rPr>
          <w:rStyle w:val="FootnoteReference"/>
        </w:rPr>
        <w:footnoteReference w:id="148"/>
      </w:r>
      <w:r>
        <w:t xml:space="preserve"> </w:t>
      </w:r>
      <w:r>
        <w:t xml:space="preserve">The Tier 0 policy adds the UEFI lock, which means it can’t be turned off remotely afterward. Windows Hello for Business must be configured through Intune or Group Policy, never both;</w:t>
      </w:r>
      <w:r>
        <w:t xml:space="preserve"> </w:t>
      </w:r>
      <w:hyperlink r:id="rId32">
        <w:r>
          <w:rPr>
            <w:rStyle w:val="Hyperlink"/>
          </w:rPr>
          <w:t xml:space="preserve">Chapter 07</w:t>
        </w:r>
      </w:hyperlink>
      <w:r>
        <w:t xml:space="preserve"> </w:t>
      </w:r>
      <w:r>
        <w:t xml:space="preserve">explains why. Book 02,</w:t>
      </w:r>
      <w:r>
        <w:t xml:space="preserve"> </w:t>
      </w:r>
      <w:hyperlink r:id="rId92">
        <w:r>
          <w:rPr>
            <w:rStyle w:val="Hyperlink"/>
          </w:rPr>
          <w:t xml:space="preserve">Chapter 10</w:t>
        </w:r>
      </w:hyperlink>
      <w:r>
        <w:t xml:space="preserve"> </w:t>
      </w:r>
      <w:r>
        <w:t xml:space="preserve">covers Windows Hello for Business as part of phishing-resistant sign-in.</w:t>
      </w:r>
    </w:p>
    <w:bookmarkStart w:id="154" w:name="X4d3a63ba31cbc413c471606e0991ee89705c8f3"/>
    <w:p>
      <w:pPr>
        <w:pStyle w:val="Heading4"/>
      </w:pPr>
      <w:r>
        <w:t xml:space="preserve">Windows LAPS (local admin password solution profile)</w:t>
      </w:r>
    </w:p>
    <w:p>
      <w:pPr>
        <w:pStyle w:val="FirstParagraph"/>
      </w:pPr>
      <w:r>
        <w:t xml:space="preserve">Replaces the LAPS GPO (Computer Configuration &gt; Administrative Templates &gt; System &gt; LAPS).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Backup directory</w:t>
            </w:r>
          </w:p>
        </w:tc>
        <w:tc>
          <w:tcPr/>
          <w:p>
            <w:pPr>
              <w:pStyle w:val="Compact"/>
            </w:pPr>
            <w:r>
              <w:t xml:space="preserve">Microsoft Entra ID (Entra-joined devices); Active Directory for hybrid-joined devices still in transition</w:t>
            </w:r>
          </w:p>
        </w:tc>
      </w:tr>
      <w:tr>
        <w:tc>
          <w:tcPr/>
          <w:p>
            <w:pPr>
              <w:pStyle w:val="Compact"/>
            </w:pPr>
            <w:r>
              <w:t xml:space="preserve">Password complexity</w:t>
            </w:r>
          </w:p>
        </w:tc>
        <w:tc>
          <w:tcPr/>
          <w:p>
            <w:pPr>
              <w:pStyle w:val="Compact"/>
            </w:pPr>
            <w:r>
              <w:t xml:space="preserve">Large letters, small letters, numbers and special characters</w:t>
            </w:r>
          </w:p>
        </w:tc>
      </w:tr>
      <w:tr>
        <w:tc>
          <w:tcPr/>
          <w:p>
            <w:pPr>
              <w:pStyle w:val="Compact"/>
            </w:pPr>
            <w:r>
              <w:t xml:space="preserve">Password length</w:t>
            </w:r>
          </w:p>
        </w:tc>
        <w:tc>
          <w:tcPr/>
          <w:p>
            <w:pPr>
              <w:pStyle w:val="Compact"/>
            </w:pPr>
            <w:r>
              <w:t xml:space="preserve">24 characters</w:t>
            </w:r>
          </w:p>
        </w:tc>
      </w:tr>
      <w:tr>
        <w:tc>
          <w:tcPr/>
          <w:p>
            <w:pPr>
              <w:pStyle w:val="Compact"/>
            </w:pPr>
            <w:r>
              <w:t xml:space="preserve">Password age (days)</w:t>
            </w:r>
          </w:p>
        </w:tc>
        <w:tc>
          <w:tcPr/>
          <w:p>
            <w:pPr>
              <w:pStyle w:val="Compact"/>
            </w:pPr>
            <w:r>
              <w:t xml:space="preserve">30</w:t>
            </w:r>
          </w:p>
        </w:tc>
      </w:tr>
      <w:tr>
        <w:tc>
          <w:tcPr/>
          <w:p>
            <w:pPr>
              <w:pStyle w:val="Compact"/>
            </w:pPr>
            <w:r>
              <w:t xml:space="preserve">Post-authentication actions</w:t>
            </w:r>
          </w:p>
        </w:tc>
        <w:tc>
          <w:tcPr/>
          <w:p>
            <w:pPr>
              <w:pStyle w:val="Compact"/>
            </w:pPr>
            <w:r>
              <w:t xml:space="preserve">Reset the password and sign out the managed account</w:t>
            </w:r>
          </w:p>
        </w:tc>
      </w:tr>
      <w:tr>
        <w:tc>
          <w:tcPr/>
          <w:p>
            <w:pPr>
              <w:pStyle w:val="Compact"/>
            </w:pPr>
            <w:r>
              <w:t xml:space="preserve">Post-authentication reset delay (hours)</w:t>
            </w:r>
          </w:p>
        </w:tc>
        <w:tc>
          <w:tcPr/>
          <w:p>
            <w:pPr>
              <w:pStyle w:val="Compact"/>
            </w:pPr>
            <w:r>
              <w:t xml:space="preserve">8</w:t>
            </w:r>
          </w:p>
        </w:tc>
      </w:tr>
      <w:tr>
        <w:tc>
          <w:tcPr/>
          <w:p>
            <w:pPr>
              <w:pStyle w:val="Compact"/>
            </w:pPr>
            <w:r>
              <w:t xml:space="preserve">Administrator account name</w:t>
            </w:r>
          </w:p>
        </w:tc>
        <w:tc>
          <w:tcPr/>
          <w:p>
            <w:pPr>
              <w:pStyle w:val="Compact"/>
            </w:pPr>
            <w:r>
              <w:t xml:space="preserve">Default (built-in Administrator)</w:t>
            </w:r>
          </w:p>
        </w:tc>
      </w:tr>
    </w:tbl>
    <w:p>
      <w:pPr>
        <w:pStyle w:val="BodyText"/>
      </w:pPr>
      <w:r>
        <w:t xml:space="preserve">The post-authentication delay can be 0 to 24 hours, where 0 turns the actions off; 24 is the default.</w:t>
      </w:r>
      <w:r>
        <w:rPr>
          <w:rStyle w:val="FootnoteReference"/>
        </w:rPr>
        <w:footnoteReference w:id="150"/>
      </w:r>
      <w:r>
        <w:t xml:space="preserve"> </w:t>
      </w:r>
      <w:r>
        <w:t xml:space="preserve">The program shortens it from the source’s 24 to 8 so a disclosed password doesn’t outlive a working day. Intune manages Windows LAPS through endpoint security account protection policy and can back passwords up to Entra ID or Active Directory; on Windows 11, version 24H2 and later, automatic account management can also randomize the managed account’s name.</w:t>
      </w:r>
      <w:r>
        <w:rPr>
          <w:rStyle w:val="FootnoteReference"/>
        </w:rPr>
        <w:footnoteReference w:id="152"/>
      </w:r>
      <w:r>
        <w:t xml:space="preserve"> </w:t>
      </w:r>
      <w:r>
        <w:t xml:space="preserve">The source listed Windows Server 2025 as a target; servers don’t enroll, so server LAPS stays with the server toolchain in Chapter 09.</w:t>
      </w:r>
    </w:p>
    <w:bookmarkEnd w:id="154"/>
    <w:bookmarkEnd w:id="155"/>
    <w:bookmarkEnd w:id="156"/>
    <w:bookmarkStart w:id="161" w:name="app-protection-policies"/>
    <w:p>
      <w:pPr>
        <w:pStyle w:val="Heading2"/>
      </w:pPr>
      <w:r>
        <w:t xml:space="preserve">App protection policies</w:t>
      </w:r>
    </w:p>
    <w:bookmarkStart w:id="159" w:name="X3aa71eb18f1f1b17ba729b56597b859ecf5dddb"/>
    <w:p>
      <w:pPr>
        <w:pStyle w:val="Heading3"/>
      </w:pPr>
      <w:r>
        <w:t xml:space="preserve">AP-001: Microsoft 365 apps on iOS and Android</w:t>
      </w:r>
    </w:p>
    <w:p>
      <w:pPr>
        <w:pStyle w:val="FirstParagraph"/>
      </w:pPr>
      <w:r>
        <w:rPr>
          <w:b/>
          <w:bCs/>
        </w:rPr>
        <w:t xml:space="preserve">Type:</w:t>
      </w:r>
      <w:r>
        <w:t xml:space="preserve"> </w:t>
      </w:r>
      <w:r>
        <w:t xml:space="preserve">app protection policy ·</w:t>
      </w:r>
      <w:r>
        <w:t xml:space="preserve"> </w:t>
      </w:r>
      <w:r>
        <w:rPr>
          <w:b/>
          <w:bCs/>
        </w:rPr>
        <w:t xml:space="preserve">Target:</w:t>
      </w:r>
      <w:r>
        <w:t xml:space="preserve"> </w:t>
      </w:r>
      <w:r>
        <w:t xml:space="preserve">Outlook, Teams, OneDrive, SharePoint, Word, Excel, PowerPoint and Edge on iOS and Android.</w:t>
      </w:r>
    </w:p>
    <w:p>
      <w:pPr>
        <w:pStyle w:val="BodyText"/>
      </w:pPr>
      <w:r>
        <w:t xml:space="preserve">The source wrote AP-001 for Windows with enrollment. That doesn’t exist: on Windows, app protection applies to Microsoft Edge only, and only on devices that aren’t MDM enrolled or Entra joined; if a device is managed, Windows MAM enrollment is blocked.</w:t>
      </w:r>
      <w:r>
        <w:rPr>
          <w:rStyle w:val="FootnoteReference"/>
        </w:rPr>
        <w:footnoteReference w:id="157"/>
      </w:r>
      <w:r>
        <w:t xml:space="preserve"> </w:t>
      </w:r>
      <w:r>
        <w:t xml:space="preserve">Enrolled Windows devices get their data protection from the configuration and compliance policies above. AP-001 therefore targets the mobile Microsoft 365 apps.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r>
      <w:tr>
        <w:tc>
          <w:tcPr/>
          <w:p>
            <w:pPr>
              <w:pStyle w:val="Compact"/>
            </w:pPr>
            <w:r>
              <w:t xml:space="preserve">Data transfer</w:t>
            </w:r>
          </w:p>
        </w:tc>
        <w:tc>
          <w:tcPr/>
          <w:p>
            <w:pPr>
              <w:pStyle w:val="Compact"/>
            </w:pPr>
            <w:r>
              <w:t xml:space="preserve">Send org data to other apps</w:t>
            </w:r>
          </w:p>
        </w:tc>
        <w:tc>
          <w:tcPr/>
          <w:p>
            <w:pPr>
              <w:pStyle w:val="Compact"/>
            </w:pPr>
            <w:r>
              <w:t xml:space="preserve">Policy-managed apps</w:t>
            </w:r>
          </w:p>
        </w:tc>
      </w:tr>
      <w:tr>
        <w:tc>
          <w:tcPr/>
          <w:p>
            <w:pPr>
              <w:pStyle w:val="Compact"/>
            </w:pPr>
            <w:r>
              <w:t xml:space="preserve">Data transfer</w:t>
            </w:r>
          </w:p>
        </w:tc>
        <w:tc>
          <w:tcPr/>
          <w:p>
            <w:pPr>
              <w:pStyle w:val="Compact"/>
            </w:pPr>
            <w:r>
              <w:t xml:space="preserve">Receive data from other apps</w:t>
            </w:r>
          </w:p>
        </w:tc>
        <w:tc>
          <w:tcPr/>
          <w:p>
            <w:pPr>
              <w:pStyle w:val="Compact"/>
            </w:pPr>
            <w:r>
              <w:t xml:space="preserve">Policy-managed apps</w:t>
            </w:r>
          </w:p>
        </w:tc>
      </w:tr>
      <w:tr>
        <w:tc>
          <w:tcPr/>
          <w:p>
            <w:pPr>
              <w:pStyle w:val="Compact"/>
            </w:pPr>
            <w:r>
              <w:t xml:space="preserve">Data transfer</w:t>
            </w:r>
          </w:p>
        </w:tc>
        <w:tc>
          <w:tcPr/>
          <w:p>
            <w:pPr>
              <w:pStyle w:val="Compact"/>
            </w:pPr>
            <w:r>
              <w:t xml:space="preserve">Save copies of org data</w:t>
            </w:r>
          </w:p>
        </w:tc>
        <w:tc>
          <w:tcPr/>
          <w:p>
            <w:pPr>
              <w:pStyle w:val="Compact"/>
            </w:pPr>
            <w:r>
              <w:t xml:space="preserve">Block</w:t>
            </w:r>
          </w:p>
        </w:tc>
      </w:tr>
      <w:tr>
        <w:tc>
          <w:tcPr/>
          <w:p>
            <w:pPr>
              <w:pStyle w:val="Compact"/>
            </w:pPr>
            <w:r>
              <w:t xml:space="preserve">Data transfer</w:t>
            </w:r>
          </w:p>
        </w:tc>
        <w:tc>
          <w:tcPr/>
          <w:p>
            <w:pPr>
              <w:pStyle w:val="Compact"/>
            </w:pPr>
            <w:r>
              <w:t xml:space="preserve">Allow user to save copies to selected services</w:t>
            </w:r>
          </w:p>
        </w:tc>
        <w:tc>
          <w:tcPr/>
          <w:p>
            <w:pPr>
              <w:pStyle w:val="Compact"/>
            </w:pPr>
            <w:r>
              <w:t xml:space="preserve">OneDrive for work or school, SharePoint</w:t>
            </w:r>
          </w:p>
        </w:tc>
      </w:tr>
      <w:tr>
        <w:tc>
          <w:tcPr/>
          <w:p>
            <w:pPr>
              <w:pStyle w:val="Compact"/>
            </w:pPr>
            <w:r>
              <w:t xml:space="preserve">Data transfer</w:t>
            </w:r>
          </w:p>
        </w:tc>
        <w:tc>
          <w:tcPr/>
          <w:p>
            <w:pPr>
              <w:pStyle w:val="Compact"/>
            </w:pPr>
            <w:r>
              <w:t xml:space="preserve">Restrict cut, copy and paste between other apps</w:t>
            </w:r>
          </w:p>
        </w:tc>
        <w:tc>
          <w:tcPr/>
          <w:p>
            <w:pPr>
              <w:pStyle w:val="Compact"/>
            </w:pPr>
            <w:r>
              <w:t xml:space="preserve">Policy-managed apps with paste in</w:t>
            </w:r>
          </w:p>
        </w:tc>
      </w:tr>
      <w:tr>
        <w:tc>
          <w:tcPr/>
          <w:p>
            <w:pPr>
              <w:pStyle w:val="Compact"/>
            </w:pPr>
            <w:r>
              <w:t xml:space="preserve">Data transfer</w:t>
            </w:r>
          </w:p>
        </w:tc>
        <w:tc>
          <w:tcPr/>
          <w:p>
            <w:pPr>
              <w:pStyle w:val="Compact"/>
            </w:pPr>
            <w:r>
              <w:t xml:space="preserve">Screen capture and Google Assistant (Android)</w:t>
            </w:r>
          </w:p>
        </w:tc>
        <w:tc>
          <w:tcPr/>
          <w:p>
            <w:pPr>
              <w:pStyle w:val="Compact"/>
            </w:pPr>
            <w:r>
              <w:t xml:space="preserve">Block</w:t>
            </w:r>
          </w:p>
        </w:tc>
      </w:tr>
      <w:tr>
        <w:tc>
          <w:tcPr/>
          <w:p>
            <w:pPr>
              <w:pStyle w:val="Compact"/>
            </w:pPr>
            <w:r>
              <w:t xml:space="preserve">Encryption</w:t>
            </w:r>
          </w:p>
        </w:tc>
        <w:tc>
          <w:tcPr/>
          <w:p>
            <w:pPr>
              <w:pStyle w:val="Compact"/>
            </w:pPr>
            <w:r>
              <w:t xml:space="preserve">Encrypt org data</w:t>
            </w:r>
          </w:p>
        </w:tc>
        <w:tc>
          <w:tcPr/>
          <w:p>
            <w:pPr>
              <w:pStyle w:val="Compact"/>
            </w:pPr>
            <w:r>
              <w:t xml:space="preserve">Require</w:t>
            </w:r>
          </w:p>
        </w:tc>
      </w:tr>
      <w:tr>
        <w:tc>
          <w:tcPr/>
          <w:p>
            <w:pPr>
              <w:pStyle w:val="Compact"/>
            </w:pPr>
            <w:r>
              <w:t xml:space="preserve">Conditional launch</w:t>
            </w:r>
          </w:p>
        </w:tc>
        <w:tc>
          <w:tcPr/>
          <w:p>
            <w:pPr>
              <w:pStyle w:val="Compact"/>
            </w:pPr>
            <w:r>
              <w:t xml:space="preserve">Minimum OS version</w:t>
            </w:r>
          </w:p>
        </w:tc>
        <w:tc>
          <w:tcPr/>
          <w:p>
            <w:pPr>
              <w:pStyle w:val="Compact"/>
            </w:pPr>
            <w:r>
              <w:t xml:space="preserve">The current major version minus one</w:t>
            </w:r>
          </w:p>
        </w:tc>
      </w:tr>
    </w:tbl>
    <w:bookmarkEnd w:id="159"/>
    <w:bookmarkStart w:id="160" w:name="Xce94774f0464483bc2fe3d62b088cf9a60d6c45"/>
    <w:p>
      <w:pPr>
        <w:pStyle w:val="Heading3"/>
      </w:pPr>
      <w:r>
        <w:t xml:space="preserve">AP-002: Edge on personal Windows devices, and BYOD mobile</w:t>
      </w:r>
    </w:p>
    <w:p>
      <w:pPr>
        <w:pStyle w:val="FirstParagraph"/>
      </w:pPr>
      <w:r>
        <w:rPr>
          <w:b/>
          <w:bCs/>
        </w:rPr>
        <w:t xml:space="preserve">Type:</w:t>
      </w:r>
      <w:r>
        <w:t xml:space="preserve"> </w:t>
      </w:r>
      <w:r>
        <w:t xml:space="preserve">app protection policy without enrollment ·</w:t>
      </w:r>
      <w:r>
        <w:t xml:space="preserve"> </w:t>
      </w:r>
      <w:r>
        <w:rPr>
          <w:b/>
          <w:bCs/>
        </w:rPr>
        <w:t xml:space="preserve">Target:</w:t>
      </w:r>
      <w:r>
        <w:t xml:space="preserve"> </w:t>
      </w:r>
      <w:r>
        <w:t xml:space="preserve">Microsoft Edge on personal Windows devices, and the AP-001 apps on personal iOS and Android devices.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Category</w:t>
            </w:r>
          </w:p>
        </w:tc>
        <w:tc>
          <w:tcPr/>
          <w:p>
            <w:pPr>
              <w:pStyle w:val="Compact"/>
            </w:pPr>
            <w:r>
              <w:t xml:space="preserve">Setting</w:t>
            </w:r>
          </w:p>
        </w:tc>
        <w:tc>
          <w:tcPr/>
          <w:p>
            <w:pPr>
              <w:pStyle w:val="Compact"/>
            </w:pPr>
            <w:r>
              <w:t xml:space="preserve">Value</w:t>
            </w:r>
          </w:p>
        </w:tc>
      </w:tr>
      <w:tr>
        <w:tc>
          <w:tcPr/>
          <w:p>
            <w:pPr>
              <w:pStyle w:val="Compact"/>
            </w:pPr>
            <w:r>
              <w:t xml:space="preserve">Access (mobile)</w:t>
            </w:r>
          </w:p>
        </w:tc>
        <w:tc>
          <w:tcPr/>
          <w:p>
            <w:pPr>
              <w:pStyle w:val="Compact"/>
            </w:pPr>
            <w:r>
              <w:t xml:space="preserve">PIN for access</w:t>
            </w:r>
          </w:p>
        </w:tc>
        <w:tc>
          <w:tcPr/>
          <w:p>
            <w:pPr>
              <w:pStyle w:val="Compact"/>
            </w:pPr>
            <w:r>
              <w:t xml:space="preserve">Require, 6 digits</w:t>
            </w:r>
          </w:p>
        </w:tc>
      </w:tr>
      <w:tr>
        <w:tc>
          <w:tcPr/>
          <w:p>
            <w:pPr>
              <w:pStyle w:val="Compact"/>
            </w:pPr>
            <w:r>
              <w:t xml:space="preserve">Access (mobile)</w:t>
            </w:r>
          </w:p>
        </w:tc>
        <w:tc>
          <w:tcPr/>
          <w:p>
            <w:pPr>
              <w:pStyle w:val="Compact"/>
            </w:pPr>
            <w:r>
              <w:t xml:space="preserve">Biometrics instead of PIN</w:t>
            </w:r>
          </w:p>
        </w:tc>
        <w:tc>
          <w:tcPr/>
          <w:p>
            <w:pPr>
              <w:pStyle w:val="Compact"/>
            </w:pPr>
            <w:r>
              <w:t xml:space="preserve">Allow</w:t>
            </w:r>
          </w:p>
        </w:tc>
      </w:tr>
      <w:tr>
        <w:tc>
          <w:tcPr/>
          <w:p>
            <w:pPr>
              <w:pStyle w:val="Compact"/>
            </w:pPr>
            <w:r>
              <w:t xml:space="preserve">Conditional launch</w:t>
            </w:r>
          </w:p>
        </w:tc>
        <w:tc>
          <w:tcPr/>
          <w:p>
            <w:pPr>
              <w:pStyle w:val="Compact"/>
            </w:pPr>
            <w:r>
              <w:t xml:space="preserve">Offline grace period</w:t>
            </w:r>
          </w:p>
        </w:tc>
        <w:tc>
          <w:tcPr/>
          <w:p>
            <w:pPr>
              <w:pStyle w:val="Compact"/>
            </w:pPr>
            <w:r>
              <w:t xml:space="preserve">90 days, then wipe org data</w:t>
            </w:r>
          </w:p>
        </w:tc>
      </w:tr>
      <w:tr>
        <w:tc>
          <w:tcPr/>
          <w:p>
            <w:pPr>
              <w:pStyle w:val="Compact"/>
            </w:pPr>
            <w:r>
              <w:t xml:space="preserve">Conditional launch</w:t>
            </w:r>
          </w:p>
        </w:tc>
        <w:tc>
          <w:tcPr/>
          <w:p>
            <w:pPr>
              <w:pStyle w:val="Compact"/>
            </w:pPr>
            <w:r>
              <w:t xml:space="preserve">Jailbroken or rooted devices</w:t>
            </w:r>
          </w:p>
        </w:tc>
        <w:tc>
          <w:tcPr/>
          <w:p>
            <w:pPr>
              <w:pStyle w:val="Compact"/>
            </w:pPr>
            <w:r>
              <w:t xml:space="preserve">Block access</w:t>
            </w:r>
          </w:p>
        </w:tc>
      </w:tr>
      <w:tr>
        <w:tc>
          <w:tcPr/>
          <w:p>
            <w:pPr>
              <w:pStyle w:val="Compact"/>
            </w:pPr>
            <w:r>
              <w:t xml:space="preserve">Conditional launch</w:t>
            </w:r>
          </w:p>
        </w:tc>
        <w:tc>
          <w:tcPr/>
          <w:p>
            <w:pPr>
              <w:pStyle w:val="Compact"/>
            </w:pPr>
            <w:r>
              <w:t xml:space="preserve">Maximum PIN attempts</w:t>
            </w:r>
          </w:p>
        </w:tc>
        <w:tc>
          <w:tcPr/>
          <w:p>
            <w:pPr>
              <w:pStyle w:val="Compact"/>
            </w:pPr>
            <w:r>
              <w:t xml:space="preserve">5, then wipe org data</w:t>
            </w:r>
          </w:p>
        </w:tc>
      </w:tr>
      <w:tr>
        <w:tc>
          <w:tcPr/>
          <w:p>
            <w:pPr>
              <w:pStyle w:val="Compact"/>
            </w:pPr>
            <w:r>
              <w:t xml:space="preserve">Conditional launch</w:t>
            </w:r>
          </w:p>
        </w:tc>
        <w:tc>
          <w:tcPr/>
          <w:p>
            <w:pPr>
              <w:pStyle w:val="Compact"/>
            </w:pPr>
            <w:r>
              <w:t xml:space="preserve">Minimum app version</w:t>
            </w:r>
          </w:p>
        </w:tc>
        <w:tc>
          <w:tcPr/>
          <w:p>
            <w:pPr>
              <w:pStyle w:val="Compact"/>
            </w:pPr>
            <w:r>
              <w:t xml:space="preserve">The latest version minus one</w:t>
            </w:r>
          </w:p>
        </w:tc>
      </w:tr>
      <w:tr>
        <w:tc>
          <w:tcPr/>
          <w:p>
            <w:pPr>
              <w:pStyle w:val="Compact"/>
            </w:pPr>
            <w:r>
              <w:t xml:space="preserve">Health checks (Windows)</w:t>
            </w:r>
          </w:p>
        </w:tc>
        <w:tc>
          <w:tcPr/>
          <w:p>
            <w:pPr>
              <w:pStyle w:val="Compact"/>
            </w:pPr>
            <w:r>
              <w:t xml:space="preserve">Maximum allowed device threat level</w:t>
            </w:r>
          </w:p>
        </w:tc>
        <w:tc>
          <w:tcPr/>
          <w:p>
            <w:pPr>
              <w:pStyle w:val="Compact"/>
            </w:pPr>
            <w:r>
              <w:t xml:space="preserve">Set from the Windows Security Center connector</w:t>
            </w:r>
          </w:p>
        </w:tc>
      </w:tr>
      <w:tr>
        <w:tc>
          <w:tcPr/>
          <w:p>
            <w:pPr>
              <w:pStyle w:val="Compact"/>
            </w:pPr>
            <w:r>
              <w:t xml:space="preserve">Data transfer</w:t>
            </w:r>
          </w:p>
        </w:tc>
        <w:tc>
          <w:tcPr/>
          <w:p>
            <w:pPr>
              <w:pStyle w:val="Compact"/>
            </w:pPr>
            <w:r>
              <w:t xml:space="preserve">Same as AP-001</w:t>
            </w:r>
          </w:p>
        </w:tc>
        <w:tc>
          <w:tcPr/>
          <w:p>
            <w:pPr>
              <w:pStyle w:val="Compact"/>
            </w:pPr>
            <w:r>
              <w:t xml:space="preserve">—</w:t>
            </w:r>
          </w:p>
        </w:tc>
      </w:tr>
    </w:tbl>
    <w:p>
      <w:pPr>
        <w:pStyle w:val="BodyText"/>
      </w:pPr>
      <w:r>
        <w:t xml:space="preserve">A Conditional Access policy that requires an app protection policy makes these protections mandatory;</w:t>
      </w:r>
      <w:r>
        <w:t xml:space="preserve"> </w:t>
      </w:r>
      <w:hyperlink r:id="rId71">
        <w:r>
          <w:rPr>
            <w:rStyle w:val="Hyperlink"/>
          </w:rPr>
          <w:t xml:space="preserve">Book 04</w:t>
        </w:r>
      </w:hyperlink>
      <w:r>
        <w:t xml:space="preserve"> </w:t>
      </w:r>
      <w:r>
        <w:t xml:space="preserve">owns it.</w:t>
      </w:r>
    </w:p>
    <w:bookmarkEnd w:id="160"/>
    <w:bookmarkEnd w:id="161"/>
    <w:bookmarkStart w:id="168" w:name="the-translation-reference-and-csp-paths"/>
    <w:p>
      <w:pPr>
        <w:pStyle w:val="Heading2"/>
      </w:pPr>
      <w:r>
        <w:t xml:space="preserve">The translation reference and CSP paths</w:t>
      </w:r>
    </w:p>
    <w:p>
      <w:pPr>
        <w:pStyle w:val="FirstParagraph"/>
      </w:pPr>
      <w:r>
        <w:t xml:space="preserve">The setting-level lookup card that accompanied this library (fifty common GPO settings, each with its closest Intune surface and the program policy that owns it) and the CSP paths behind the key settings are in</w:t>
      </w:r>
      <w:r>
        <w:t xml:space="preserve"> </w:t>
      </w:r>
      <w:hyperlink r:id="rId162">
        <w:r>
          <w:rPr>
            <w:rStyle w:val="Hyperlink"/>
          </w:rPr>
          <w:t xml:space="preserve">Appendix A</w:t>
        </w:r>
      </w:hyperlink>
      <w:r>
        <w:t xml:space="preserve">, with the policy IDs used in this chapter. The appendix is a reference, not a prescription: it says where a required setting lands, and the regenerate-not-copy philosophy in</w:t>
      </w:r>
      <w:r>
        <w:t xml:space="preserve"> </w:t>
      </w:r>
      <w:hyperlink r:id="rId163">
        <w:r>
          <w:rPr>
            <w:rStyle w:val="Hyperlink"/>
          </w:rPr>
          <w:t xml:space="preserve">Client-Server to Hybrid-Cloud, Chapter 05</w:t>
        </w:r>
      </w:hyperlink>
      <w:r>
        <w:t xml:space="preserve"> </w:t>
      </w:r>
      <w:r>
        <w:t xml:space="preserve">decides its value.</w:t>
      </w:r>
    </w:p>
    <w:p>
      <w:pPr>
        <w:pStyle w:val="BodyText"/>
      </w:pPr>
      <w:r>
        <w:t xml:space="preserve">Three corrections from the source carry through both documents. Account lockout maps to the DeviceLock</w:t>
      </w:r>
      <w:r>
        <w:t xml:space="preserve"> </w:t>
      </w:r>
      <w:r>
        <w:rPr>
          <w:rStyle w:val="VerbatimChar"/>
        </w:rPr>
        <w:t xml:space="preserve">AccountLockoutPolicy</w:t>
      </w:r>
      <w:r>
        <w:t xml:space="preserve"> </w:t>
      </w:r>
      <w:r>
        <w:t xml:space="preserve">setting, not</w:t>
      </w:r>
      <w:r>
        <w:t xml:space="preserve"> </w:t>
      </w:r>
      <w:r>
        <w:rPr>
          <w:rStyle w:val="VerbatimChar"/>
        </w:rPr>
        <w:t xml:space="preserve">MaxDevicePasswordFailedAttempts</w:t>
      </w:r>
      <w:r>
        <w:t xml:space="preserve">.</w:t>
      </w:r>
      <w:r>
        <w:rPr>
          <w:rStyle w:val="FootnoteReference"/>
        </w:rPr>
        <w:footnoteReference w:id="164"/>
      </w:r>
      <w:r>
        <w:t xml:space="preserve"> </w:t>
      </w:r>
      <w:r>
        <w:t xml:space="preserve">Logon auditing sits under</w:t>
      </w:r>
      <w:r>
        <w:t xml:space="preserve"> </w:t>
      </w:r>
      <w:r>
        <w:rPr>
          <w:rStyle w:val="VerbatimChar"/>
        </w:rPr>
        <w:t xml:space="preserve">Audit/AccountLogonLogoff_AuditLogon</w:t>
      </w:r>
      <w:r>
        <w:t xml:space="preserve">, not an</w:t>
      </w:r>
      <w:r>
        <w:t xml:space="preserve"> </w:t>
      </w:r>
      <w:r>
        <w:rPr>
          <w:rStyle w:val="VerbatimChar"/>
        </w:rPr>
        <w:t xml:space="preserve">AccountLogon_</w:t>
      </w:r>
      <w:r>
        <w:t xml:space="preserve"> </w:t>
      </w:r>
      <w:r>
        <w:t xml:space="preserve">path.</w:t>
      </w:r>
      <w:r>
        <w:rPr>
          <w:rStyle w:val="FootnoteReference"/>
        </w:rPr>
        <w:footnoteReference w:id="165"/>
      </w:r>
      <w:r>
        <w:t xml:space="preserve"> </w:t>
      </w:r>
      <w:r>
        <w:t xml:space="preserve">And the Defender, BitLocker, firewall and LAPS rows map to the Endpoint security policies ES-001, ES-002, ES-003 and ES-006, not to settings catalog profiles. For a setting with no surface at all, a custom OMA-URI profile delivers it by CSP path; Intune doesn’t validate a custom payload, so record its owner like any other policy.</w:t>
      </w:r>
      <w:r>
        <w:rPr>
          <w:rStyle w:val="FootnoteReference"/>
        </w:rPr>
        <w:footnoteReference w:id="167"/>
      </w:r>
    </w:p>
    <w:bookmarkEnd w:id="168"/>
    <w:bookmarkStart w:id="183" w:name="dynamic-group-and-filter-templates"/>
    <w:p>
      <w:pPr>
        <w:pStyle w:val="Heading2"/>
      </w:pPr>
      <w:r>
        <w:t xml:space="preserve">Dynamic group and filter templates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169" name="Picture"/>
                  <a:graphic>
                    <a:graphicData uri="http://schemas.openxmlformats.org/drawingml/2006/picture">
                      <pic:pic>
                        <pic:nvPicPr>
                          <pic:cNvPr descr="/opt/quarto/share/formats/docx/warning.png" id="170" name="Picture"/>
                          <pic:cNvPicPr>
                            <a:picLocks noChangeArrowheads="1" noChangeAspect="1"/>
                          </pic:cNvPicPr>
                        </pic:nvPicPr>
                        <pic:blipFill>
                          <a:blip r:embed="rId12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tenant</w:t>
            </w:r>
          </w:p>
        </w:tc>
      </w:tr>
      <w:tr>
        <w:trPr>
          <w:cantSplit/>
        </w:trPr>
        <w:tc>
          <w:tcPr>
            <w:tcMar>
              <w:top w:w="108" w:type="dxa"/>
              <w:bottom w:w="108" w:type="dxa"/>
            </w:tcMar>
          </w:tcPr>
          <w:p>
            <w:pPr>
              <w:pStyle w:val="BodyText"/>
            </w:pPr>
            <w:pPr>
              <w:spacing w:before="16" w:after="16"/>
            </w:pPr>
            <w:r>
              <w:t xml:space="preserve">The scripts and payloads in this chapter are illustrative. They haven’t been tested against a production tenant. Review every name, rule and value, and run them first against a test tenant.</w:t>
            </w:r>
          </w:p>
          <w:p/>
        </w:tc>
      </w:tr>
    </w:tbl>
    <w:p>
      <w:pPr>
        <w:pStyle w:val="BodyText"/>
      </w:pPr>
      <w:r>
        <w:t xml:space="preserve">The groups below use the device attribute schema. GCC (Moderate) tenants use the worldwide Microsoft Graph endpoint,</w:t>
      </w:r>
      <w:r>
        <w:t xml:space="preserve"> </w:t>
      </w:r>
      <w:r>
        <w:rPr>
          <w:rStyle w:val="VerbatimChar"/>
        </w:rPr>
        <w:t xml:space="preserve">https://graph.microsoft.com</w:t>
      </w:r>
      <w:r>
        <w:t xml:space="preserve">; GCC High uses</w:t>
      </w:r>
      <w:r>
        <w:t xml:space="preserve"> </w:t>
      </w:r>
      <w:r>
        <w:rPr>
          <w:rStyle w:val="VerbatimChar"/>
        </w:rPr>
        <w:t xml:space="preserve">https://graph.microsoft.us</w:t>
      </w:r>
      <w:r>
        <w:t xml:space="preserve"> </w:t>
      </w:r>
      <w:r>
        <w:t xml:space="preserve">and DoD</w:t>
      </w:r>
      <w:r>
        <w:t xml:space="preserve"> </w:t>
      </w:r>
      <w:r>
        <w:rPr>
          <w:rStyle w:val="VerbatimChar"/>
        </w:rPr>
        <w:t xml:space="preserve">https://dod-graph.microsoft.us</w:t>
      </w:r>
      <w:r>
        <w:t xml:space="preserve">.</w:t>
      </w:r>
      <w:r>
        <w:rPr>
          <w:rStyle w:val="FootnoteReference"/>
        </w:rPr>
        <w:footnoteReference w:id="171"/>
      </w:r>
      <w:r>
        <w:t xml:space="preserve"> </w:t>
      </w:r>
      <w:r>
        <w:t xml:space="preserve">Intune in GCC is the same service instance as commercial Intune, so the admin center is</w:t>
      </w:r>
      <w:r>
        <w:t xml:space="preserve"> </w:t>
      </w:r>
      <w:r>
        <w:rPr>
          <w:rStyle w:val="VerbatimChar"/>
        </w:rPr>
        <w:t xml:space="preserve">intune.microsoft.com</w:t>
      </w:r>
      <w:r>
        <w:t xml:space="preserve">.</w:t>
      </w:r>
      <w:r>
        <w:rPr>
          <w:rStyle w:val="FootnoteReference"/>
        </w:rPr>
        <w:footnoteReference w:id="173"/>
      </w:r>
    </w:p>
    <w:bookmarkStart w:id="175" w:name="writing-a-device-attribute"/>
    <w:p>
      <w:pPr>
        <w:pStyle w:val="Heading3"/>
      </w:pPr>
      <w:r>
        <w:t xml:space="preserve">Writing a device attribute</w:t>
      </w:r>
    </w:p>
    <w:p>
      <w:pPr>
        <w:pStyle w:val="FirstParagraph"/>
      </w:pPr>
      <w:r>
        <w:t xml:space="preserve">Dynamic rules can only match values that exist on the device object, so the provisioning process writes them first.</w:t>
      </w:r>
    </w:p>
    <w:p>
      <w:pPr>
        <w:pStyle w:val="SourceCode"/>
      </w:pPr>
      <w:r>
        <w:rPr>
          <w:rStyle w:val="CommentTok"/>
        </w:rPr>
        <w:t xml:space="preserve"># Requires Device.ReadWrite.All. $deviceObjectId is the Entra device object ID, not the device ID.</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'Device.ReadWrite.All'</w:t>
      </w:r>
      <w:r>
        <w:br/>
      </w:r>
      <w:r>
        <w:br/>
      </w:r>
      <w:r>
        <w:rPr>
          <w:rStyle w:val="VariableTok"/>
        </w:rPr>
        <w:t xml:space="preserve">$params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extensionAttributes </w:t>
      </w:r>
      <w:r>
        <w:rPr>
          <w:rStyle w:val="OperatorTok"/>
        </w:rPr>
        <w:t xml:space="preserve">=</w:t>
      </w:r>
      <w:r>
        <w:rPr>
          <w:rStyle w:val="NormalTok"/>
        </w:rPr>
        <w:t xml:space="preserve"> @</w:t>
      </w:r>
      <w:r>
        <w:rPr>
          <w:rStyle w:val="OperatorTok"/>
        </w:rPr>
        <w:t xml:space="preserve">{</w:t>
      </w:r>
      <w:r>
        <w:br/>
      </w:r>
      <w:r>
        <w:rPr>
          <w:rStyle w:val="NormalTok"/>
        </w:rPr>
        <w:t xml:space="preserve">        extensionAttribute11 </w:t>
      </w:r>
      <w:r>
        <w:rPr>
          <w:rStyle w:val="OperatorTok"/>
        </w:rPr>
        <w:t xml:space="preserve">=</w:t>
      </w:r>
      <w:r>
        <w:rPr>
          <w:rStyle w:val="NormalTok"/>
        </w:rPr>
        <w:t xml:space="preserve"> </w:t>
      </w:r>
      <w:r>
        <w:rPr>
          <w:rStyle w:val="StringTok"/>
        </w:rPr>
        <w:t xml:space="preserve">'Tier0'</w:t>
      </w:r>
      <w:r>
        <w:br/>
      </w:r>
      <w:r>
        <w:rPr>
          <w:rStyle w:val="NormalTok"/>
        </w:rPr>
        <w:t xml:space="preserve">        extensionAttribute13 </w:t>
      </w:r>
      <w:r>
        <w:rPr>
          <w:rStyle w:val="OperatorTok"/>
        </w:rPr>
        <w:t xml:space="preserve">=</w:t>
      </w:r>
      <w:r>
        <w:rPr>
          <w:rStyle w:val="NormalTok"/>
        </w:rPr>
        <w:t xml:space="preserve"> </w:t>
      </w:r>
      <w:r>
        <w:rPr>
          <w:rStyle w:val="StringTok"/>
        </w:rPr>
        <w:t xml:space="preserve">'Production'</w:t>
      </w:r>
      <w:r>
        <w:br/>
      </w:r>
      <w:r>
        <w:rPr>
          <w:rStyle w:val="NormalTok"/>
        </w:rPr>
        <w:t xml:space="preserve">    </w:t>
      </w:r>
      <w:r>
        <w:rPr>
          <w:rStyle w:val="OperatorTok"/>
        </w:rPr>
        <w:t xml:space="preserve">}</w:t>
      </w:r>
      <w:r>
        <w:br/>
      </w:r>
      <w:r>
        <w:rPr>
          <w:rStyle w:val="OperatorTok"/>
        </w:rPr>
        <w:t xml:space="preserve">}</w:t>
      </w:r>
      <w:r>
        <w:br/>
      </w:r>
      <w:r>
        <w:rPr>
          <w:rStyle w:val="NormalTok"/>
        </w:rPr>
        <w:t xml:space="preserve">Update-MgDevice </w:t>
      </w:r>
      <w:r>
        <w:rPr>
          <w:rStyle w:val="OperatorTok"/>
        </w:rPr>
        <w:t xml:space="preserve">-</w:t>
      </w:r>
      <w:r>
        <w:rPr>
          <w:rStyle w:val="NormalTok"/>
        </w:rPr>
        <w:t xml:space="preserve">DeviceId </w:t>
      </w:r>
      <w:r>
        <w:rPr>
          <w:rStyle w:val="VariableTok"/>
        </w:rPr>
        <w:t xml:space="preserve">$deviceObjectId</w:t>
      </w:r>
      <w:r>
        <w:rPr>
          <w:rStyle w:val="NormalTok"/>
        </w:rPr>
        <w:t xml:space="preserve"> </w:t>
      </w:r>
      <w:r>
        <w:rPr>
          <w:rStyle w:val="OperatorTok"/>
        </w:rPr>
        <w:t xml:space="preserve">-</w:t>
      </w:r>
      <w:r>
        <w:rPr>
          <w:rStyle w:val="NormalTok"/>
        </w:rPr>
        <w:t xml:space="preserve">BodyParameter </w:t>
      </w:r>
      <w:r>
        <w:rPr>
          <w:rStyle w:val="VariableTok"/>
        </w:rPr>
        <w:t xml:space="preserve">$params</w:t>
      </w:r>
    </w:p>
    <w:bookmarkEnd w:id="175"/>
    <w:bookmarkStart w:id="176" w:name="tier-groups"/>
    <w:p>
      <w:pPr>
        <w:pStyle w:val="Heading3"/>
      </w:pPr>
      <w:r>
        <w:t xml:space="preserve">Tier groups</w:t>
      </w:r>
    </w:p>
    <w:p>
      <w:pPr>
        <w:pStyle w:val="SourceCode"/>
      </w:pPr>
      <w:r>
        <w:rPr>
          <w:rStyle w:val="NormalTok"/>
        </w:rPr>
        <w:t xml:space="preserve">Connect-MgGraph </w:t>
      </w:r>
      <w:r>
        <w:rPr>
          <w:rStyle w:val="OperatorTok"/>
        </w:rPr>
        <w:t xml:space="preserve">-</w:t>
      </w:r>
      <w:r>
        <w:rPr>
          <w:rStyle w:val="NormalTok"/>
        </w:rPr>
        <w:t xml:space="preserve">Scopes </w:t>
      </w:r>
      <w:r>
        <w:rPr>
          <w:rStyle w:val="StringTok"/>
        </w:rPr>
        <w:t xml:space="preserve">'Group.ReadWrite.All'</w:t>
      </w:r>
      <w:r>
        <w:br/>
      </w:r>
      <w:r>
        <w:br/>
      </w:r>
      <w:r>
        <w:rPr>
          <w:rStyle w:val="VariableTok"/>
        </w:rPr>
        <w:t xml:space="preserve">$tiers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'FMP-Devices-Tier0'</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'Tier0'</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'Tier 0 privileged access workstations'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'FMP-Devices-Tier1'</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'Tier1'</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'Tier 1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'FMP-Devices-Tier2'</w:t>
      </w:r>
      <w:r>
        <w:rPr>
          <w:rStyle w:val="OperatorTok"/>
        </w:rPr>
        <w:t xml:space="preserve">;</w:t>
      </w:r>
      <w:r>
        <w:rPr>
          <w:rStyle w:val="NormalTok"/>
        </w:rPr>
        <w:t xml:space="preserve"> Value </w:t>
      </w:r>
      <w:r>
        <w:rPr>
          <w:rStyle w:val="OperatorTok"/>
        </w:rPr>
        <w:t xml:space="preserve">=</w:t>
      </w:r>
      <w:r>
        <w:rPr>
          <w:rStyle w:val="NormalTok"/>
        </w:rPr>
        <w:t xml:space="preserve"> </w:t>
      </w:r>
      <w:r>
        <w:rPr>
          <w:rStyle w:val="StringTok"/>
        </w:rPr>
        <w:t xml:space="preserve">'Tier2'</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'Tier 2 standard end-user workstations'</w:t>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$tier</w:t>
      </w:r>
      <w:r>
        <w:rPr>
          <w:rStyle w:val="NormalTok"/>
        </w:rPr>
        <w:t xml:space="preserve"> </w:t>
      </w:r>
      <w:r>
        <w:rPr>
          <w:rStyle w:val="KeywordTok"/>
        </w:rPr>
        <w:t xml:space="preserve">in</w:t>
      </w:r>
      <w:r>
        <w:rPr>
          <w:rStyle w:val="NormalTok"/>
        </w:rPr>
        <w:t xml:space="preserve"> </w:t>
      </w:r>
      <w:r>
        <w:rPr>
          <w:rStyle w:val="VariableTok"/>
        </w:rPr>
        <w:t xml:space="preserve">$tiers</w:t>
      </w:r>
      <w:r>
        <w:rPr>
          <w:rStyle w:val="OperatorTok"/>
        </w:rPr>
        <w:t xml:space="preserve">)</w:t>
      </w:r>
      <w:r>
        <w:rPr>
          <w:rStyle w:val="NormalTok"/>
        </w:rPr>
        <w:t xml:space="preserve"> </w:t>
      </w:r>
      <w:r>
        <w:rPr>
          <w:rStyle w:val="OperatorTok"/>
        </w:rPr>
        <w:t xml:space="preserve">{</w:t>
      </w:r>
      <w:r>
        <w:br/>
      </w:r>
      <w:r>
        <w:rPr>
          <w:rStyle w:val="NormalTok"/>
        </w:rPr>
        <w:t xml:space="preserve">    New-MgGroup </w:t>
      </w:r>
      <w:r>
        <w:rPr>
          <w:rStyle w:val="OperatorTok"/>
        </w:rPr>
        <w:t xml:space="preserve">-</w:t>
      </w:r>
      <w:r>
        <w:rPr>
          <w:rStyle w:val="NormalTok"/>
        </w:rPr>
        <w:t xml:space="preserve">DisplayName </w:t>
      </w:r>
      <w:r>
        <w:rPr>
          <w:rStyle w:val="VariableTok"/>
        </w:rPr>
        <w:t xml:space="preserve">$tier</w:t>
      </w:r>
      <w:r>
        <w:rPr>
          <w:rStyle w:val="OperatorTok"/>
        </w:rPr>
        <w:t xml:space="preserve">.</w:t>
      </w:r>
      <w:r>
        <w:rPr>
          <w:rStyle w:val="FunctionTok"/>
        </w:rPr>
        <w:t xml:space="preserve">Name</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VariableTok"/>
        </w:rPr>
        <w:t xml:space="preserve">$tier</w:t>
      </w:r>
      <w:r>
        <w:rPr>
          <w:rStyle w:val="OperatorTok"/>
        </w:rPr>
        <w:t xml:space="preserve">.</w:t>
      </w:r>
      <w:r>
        <w:rPr>
          <w:rStyle w:val="FunctionTok"/>
        </w:rPr>
        <w:t xml:space="preserve">Description</w:t>
      </w:r>
      <w:r>
        <w:rPr>
          <w:rStyle w:val="NormalTok"/>
        </w:rPr>
        <w:t xml:space="preserve"> `</w:t>
      </w:r>
      <w:r>
        <w:br/>
      </w:r>
      <w:r>
        <w:rPr>
          <w:rStyle w:val="NormalTok"/>
        </w:rPr>
        <w:t xml:space="preserve">        </w:t>
      </w:r>
      <w:r>
        <w:rPr>
          <w:rStyle w:val="OperatorTok"/>
        </w:rPr>
        <w:t xml:space="preserve">-</w:t>
      </w:r>
      <w:r>
        <w:rPr>
          <w:rStyle w:val="NormalTok"/>
        </w:rPr>
        <w:t xml:space="preserve">MailEnabled</w:t>
      </w:r>
      <w:r>
        <w:rPr>
          <w:rStyle w:val="OperatorTok"/>
        </w:rPr>
        <w:t xml:space="preserve">:</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MailNickname </w:t>
      </w:r>
      <w:r>
        <w:rPr>
          <w:rStyle w:val="OperatorTok"/>
        </w:rPr>
        <w:t xml:space="preserve">(</w:t>
      </w:r>
      <w:r>
        <w:rPr>
          <w:rStyle w:val="VariableTok"/>
        </w:rPr>
        <w:t xml:space="preserve">$tier</w:t>
      </w:r>
      <w:r>
        <w:rPr>
          <w:rStyle w:val="OperatorTok"/>
        </w:rPr>
        <w:t xml:space="preserve">.</w:t>
      </w:r>
      <w:r>
        <w:rPr>
          <w:rStyle w:val="FunctionTok"/>
        </w:rPr>
        <w:t xml:space="preserve">Name</w:t>
      </w:r>
      <w:r>
        <w:rPr>
          <w:rStyle w:val="OperatorTok"/>
        </w:rPr>
        <w:t xml:space="preserve">.</w:t>
      </w:r>
      <w:r>
        <w:rPr>
          <w:rStyle w:val="FunctionTok"/>
        </w:rPr>
        <w:t xml:space="preserve">ToLower</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SecurityEnabled</w:t>
      </w:r>
      <w:r>
        <w:rPr>
          <w:rStyle w:val="OperatorTok"/>
        </w:rPr>
        <w:t xml:space="preserve">:</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GroupTypes </w:t>
      </w:r>
      <w:r>
        <w:rPr>
          <w:rStyle w:val="OperatorTok"/>
        </w:rPr>
        <w:t xml:space="preserve">@(</w:t>
      </w:r>
      <w:r>
        <w:rPr>
          <w:rStyle w:val="StringTok"/>
        </w:rPr>
        <w:t xml:space="preserve">'DynamicMembership'</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MembershipRule </w:t>
      </w:r>
      <w:r>
        <w:rPr>
          <w:rStyle w:val="StringTok"/>
        </w:rPr>
        <w:t xml:space="preserve">"(device.extensionAttribute11 -eq </w:t>
      </w:r>
      <w:r>
        <w:rPr>
          <w:rStyle w:val="CharTok"/>
        </w:rPr>
        <w:t xml:space="preserve">`"</w:t>
      </w:r>
      <w:r>
        <w:rPr>
          <w:rStyle w:val="OperatorTok"/>
        </w:rPr>
        <w:t xml:space="preserve">$(</w:t>
      </w:r>
      <w:r>
        <w:rPr>
          <w:rStyle w:val="VariableTok"/>
        </w:rPr>
        <w:t xml:space="preserve">$tier</w:t>
      </w:r>
      <w:r>
        <w:rPr>
          <w:rStyle w:val="OperatorTok"/>
        </w:rPr>
        <w:t xml:space="preserve">.</w:t>
      </w:r>
      <w:r>
        <w:rPr>
          <w:rStyle w:val="FunctionTok"/>
        </w:rPr>
        <w:t xml:space="preserve">Value</w:t>
      </w:r>
      <w:r>
        <w:rPr>
          <w:rStyle w:val="OperatorTok"/>
        </w:rPr>
        <w:t xml:space="preserve">)</w:t>
      </w:r>
      <w:r>
        <w:rPr>
          <w:rStyle w:val="CharTok"/>
        </w:rPr>
        <w:t xml:space="preserve">`"</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MembershipRuleProcessingState </w:t>
      </w:r>
      <w:r>
        <w:rPr>
          <w:rStyle w:val="StringTok"/>
        </w:rPr>
        <w:t xml:space="preserve">'On'</w:t>
      </w:r>
      <w:r>
        <w:br/>
      </w:r>
      <w:r>
        <w:rPr>
          <w:rStyle w:val="OperatorTok"/>
        </w:rPr>
        <w:t xml:space="preserve">}</w:t>
      </w:r>
    </w:p>
    <w:p>
      <w:pPr>
        <w:pStyle w:val="FirstParagraph"/>
      </w:pPr>
      <w:r>
        <w:t xml:space="preserve">The source labeled the Tier 1 group</w:t>
      </w:r>
      <w:r>
        <w:t xml:space="preserve"> </w:t>
      </w:r>
      <w:r>
        <w:t xml:space="preserve">“Azure Arc–enrolled servers.”</w:t>
      </w:r>
      <w:r>
        <w:t xml:space="preserve"> </w:t>
      </w:r>
      <w:r>
        <w:t xml:space="preserve">Servers don’t appear in Intune device groups as enrolled devices; Tier 1 here means client devices in Tier 1, and Chapter 09 groups servers through Azure Arc.</w:t>
      </w:r>
    </w:p>
    <w:bookmarkEnd w:id="176"/>
    <w:bookmarkStart w:id="177" w:name="X7fda89122351c76d4923e6b6bb37e0ec5c1f22b"/>
    <w:p>
      <w:pPr>
        <w:pStyle w:val="Heading3"/>
      </w:pPr>
      <w:r>
        <w:t xml:space="preserve">Environment, role, region and department groups</w:t>
      </w:r>
    </w:p>
    <w:p>
      <w:pPr>
        <w:pStyle w:val="SourceCode"/>
      </w:pPr>
      <w:r>
        <w:rPr>
          <w:rStyle w:val="VariableTok"/>
        </w:rPr>
        <w:t xml:space="preserve">$groups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'FMP-Devices-Production'</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'(device.extensionAttribute13 -eq "Production")'</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'Production environment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'FMP-Devices-Staging'</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'(device.extensionAttribute13 -eq "Staging")'</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'Staging environment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'FMP-Devices-Dev'</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'(device.extensionAttribute13 -eq "Dev")'</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'Development environment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'FMP-Devices-Kiosk'</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'(device.extensionAttribute12 -eq "Kiosk")'</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'Kiosk and shared devices'</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'FMP-Devices-Region-East'</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'(device.extensionAttribute1 -eq "EAST")'</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'Devices in the East region'</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'FMP-Devices-Dept-Governance'</w:t>
      </w:r>
      <w:r>
        <w:rPr>
          <w:rStyle w:val="OperatorTok"/>
        </w:rPr>
        <w:t xml:space="preserve">;</w:t>
      </w:r>
      <w:r>
        <w:rPr>
          <w:rStyle w:val="NormalTok"/>
        </w:rPr>
        <w:t xml:space="preserve"> Rule </w:t>
      </w:r>
      <w:r>
        <w:rPr>
          <w:rStyle w:val="OperatorTok"/>
        </w:rPr>
        <w:t xml:space="preserve">=</w:t>
      </w:r>
      <w:r>
        <w:rPr>
          <w:rStyle w:val="NormalTok"/>
        </w:rPr>
        <w:t xml:space="preserve"> </w:t>
      </w:r>
      <w:r>
        <w:rPr>
          <w:rStyle w:val="StringTok"/>
        </w:rPr>
        <w:t xml:space="preserve">'(device.extensionAttribute3 -eq "Governance")'</w:t>
      </w:r>
      <w:r>
        <w:rPr>
          <w:rStyle w:val="OperatorTok"/>
        </w:rPr>
        <w:t xml:space="preserve">;</w:t>
      </w:r>
      <w:r>
        <w:rPr>
          <w:rStyle w:val="NormalTok"/>
        </w:rPr>
        <w:t xml:space="preserve">  Description </w:t>
      </w:r>
      <w:r>
        <w:rPr>
          <w:rStyle w:val="OperatorTok"/>
        </w:rPr>
        <w:t xml:space="preserve">=</w:t>
      </w:r>
      <w:r>
        <w:rPr>
          <w:rStyle w:val="NormalTok"/>
        </w:rPr>
        <w:t xml:space="preserve"> </w:t>
      </w:r>
      <w:r>
        <w:rPr>
          <w:rStyle w:val="StringTok"/>
        </w:rPr>
        <w:t xml:space="preserve">'Devices assigned to the Governance department'</w:t>
      </w:r>
      <w:r>
        <w:rPr>
          <w:rStyle w:val="NormalTok"/>
        </w:rPr>
        <w:t xml:space="preserve"> </w:t>
      </w:r>
      <w:r>
        <w:rPr>
          <w:rStyle w:val="OperatorTok"/>
        </w:rPr>
        <w:t xml:space="preserve">}</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$g</w:t>
      </w:r>
      <w:r>
        <w:rPr>
          <w:rStyle w:val="NormalTok"/>
        </w:rPr>
        <w:t xml:space="preserve"> </w:t>
      </w:r>
      <w:r>
        <w:rPr>
          <w:rStyle w:val="KeywordTok"/>
        </w:rPr>
        <w:t xml:space="preserve">in</w:t>
      </w:r>
      <w:r>
        <w:rPr>
          <w:rStyle w:val="NormalTok"/>
        </w:rPr>
        <w:t xml:space="preserve"> </w:t>
      </w:r>
      <w:r>
        <w:rPr>
          <w:rStyle w:val="VariableTok"/>
        </w:rPr>
        <w:t xml:space="preserve">$groups</w:t>
      </w:r>
      <w:r>
        <w:rPr>
          <w:rStyle w:val="OperatorTok"/>
        </w:rPr>
        <w:t xml:space="preserve">)</w:t>
      </w:r>
      <w:r>
        <w:rPr>
          <w:rStyle w:val="NormalTok"/>
        </w:rPr>
        <w:t xml:space="preserve"> </w:t>
      </w:r>
      <w:r>
        <w:rPr>
          <w:rStyle w:val="OperatorTok"/>
        </w:rPr>
        <w:t xml:space="preserve">{</w:t>
      </w:r>
      <w:r>
        <w:br/>
      </w:r>
      <w:r>
        <w:rPr>
          <w:rStyle w:val="NormalTok"/>
        </w:rPr>
        <w:t xml:space="preserve">    New-MgGroup </w:t>
      </w:r>
      <w:r>
        <w:rPr>
          <w:rStyle w:val="OperatorTok"/>
        </w:rPr>
        <w:t xml:space="preserve">-</w:t>
      </w:r>
      <w:r>
        <w:rPr>
          <w:rStyle w:val="NormalTok"/>
        </w:rPr>
        <w:t xml:space="preserve">DisplayName </w:t>
      </w:r>
      <w:r>
        <w:rPr>
          <w:rStyle w:val="VariableTok"/>
        </w:rPr>
        <w:t xml:space="preserve">$g</w:t>
      </w:r>
      <w:r>
        <w:rPr>
          <w:rStyle w:val="OperatorTok"/>
        </w:rPr>
        <w:t xml:space="preserve">.</w:t>
      </w:r>
      <w:r>
        <w:rPr>
          <w:rStyle w:val="FunctionTok"/>
        </w:rPr>
        <w:t xml:space="preserve">Name</w:t>
      </w:r>
      <w:r>
        <w:rPr>
          <w:rStyle w:val="NormalTok"/>
        </w:rPr>
        <w:t xml:space="preserve"> `</w:t>
      </w:r>
      <w:r>
        <w:br/>
      </w:r>
      <w:r>
        <w:rPr>
          <w:rStyle w:val="NormalTok"/>
        </w:rPr>
        <w:t xml:space="preserve">        </w:t>
      </w:r>
      <w:r>
        <w:rPr>
          <w:rStyle w:val="OperatorTok"/>
        </w:rPr>
        <w:t xml:space="preserve">-</w:t>
      </w:r>
      <w:r>
        <w:rPr>
          <w:rStyle w:val="NormalTok"/>
        </w:rPr>
        <w:t xml:space="preserve">Description </w:t>
      </w:r>
      <w:r>
        <w:rPr>
          <w:rStyle w:val="VariableTok"/>
        </w:rPr>
        <w:t xml:space="preserve">$g</w:t>
      </w:r>
      <w:r>
        <w:rPr>
          <w:rStyle w:val="OperatorTok"/>
        </w:rPr>
        <w:t xml:space="preserve">.</w:t>
      </w:r>
      <w:r>
        <w:rPr>
          <w:rStyle w:val="FunctionTok"/>
        </w:rPr>
        <w:t xml:space="preserve">Description</w:t>
      </w:r>
      <w:r>
        <w:rPr>
          <w:rStyle w:val="NormalTok"/>
        </w:rPr>
        <w:t xml:space="preserve"> `</w:t>
      </w:r>
      <w:r>
        <w:br/>
      </w:r>
      <w:r>
        <w:rPr>
          <w:rStyle w:val="NormalTok"/>
        </w:rPr>
        <w:t xml:space="preserve">        </w:t>
      </w:r>
      <w:r>
        <w:rPr>
          <w:rStyle w:val="OperatorTok"/>
        </w:rPr>
        <w:t xml:space="preserve">-</w:t>
      </w:r>
      <w:r>
        <w:rPr>
          <w:rStyle w:val="NormalTok"/>
        </w:rPr>
        <w:t xml:space="preserve">MailEnabled</w:t>
      </w:r>
      <w:r>
        <w:rPr>
          <w:rStyle w:val="OperatorTok"/>
        </w:rPr>
        <w:t xml:space="preserve">:</w:t>
      </w:r>
      <w:r>
        <w:rPr>
          <w:rStyle w:val="VariableTok"/>
        </w:rPr>
        <w:t xml:space="preserve">$false</w:t>
      </w:r>
      <w:r>
        <w:rPr>
          <w:rStyle w:val="NormalTok"/>
        </w:rPr>
        <w:t xml:space="preserve"> `</w:t>
      </w:r>
      <w:r>
        <w:br/>
      </w:r>
      <w:r>
        <w:rPr>
          <w:rStyle w:val="NormalTok"/>
        </w:rPr>
        <w:t xml:space="preserve">        </w:t>
      </w:r>
      <w:r>
        <w:rPr>
          <w:rStyle w:val="OperatorTok"/>
        </w:rPr>
        <w:t xml:space="preserve">-</w:t>
      </w:r>
      <w:r>
        <w:rPr>
          <w:rStyle w:val="NormalTok"/>
        </w:rPr>
        <w:t xml:space="preserve">MailNickname </w:t>
      </w:r>
      <w:r>
        <w:rPr>
          <w:rStyle w:val="OperatorTok"/>
        </w:rPr>
        <w:t xml:space="preserve">(</w:t>
      </w:r>
      <w:r>
        <w:rPr>
          <w:rStyle w:val="VariableTok"/>
        </w:rPr>
        <w:t xml:space="preserve">$g</w:t>
      </w:r>
      <w:r>
        <w:rPr>
          <w:rStyle w:val="OperatorTok"/>
        </w:rPr>
        <w:t xml:space="preserve">.</w:t>
      </w:r>
      <w:r>
        <w:rPr>
          <w:rStyle w:val="FunctionTok"/>
        </w:rPr>
        <w:t xml:space="preserve">Name</w:t>
      </w:r>
      <w:r>
        <w:rPr>
          <w:rStyle w:val="OperatorTok"/>
        </w:rPr>
        <w:t xml:space="preserve">.</w:t>
      </w:r>
      <w:r>
        <w:rPr>
          <w:rStyle w:val="FunctionTok"/>
        </w:rPr>
        <w:t xml:space="preserve">ToLower</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SecurityEnabled</w:t>
      </w:r>
      <w:r>
        <w:rPr>
          <w:rStyle w:val="OperatorTok"/>
        </w:rPr>
        <w:t xml:space="preserve">:</w:t>
      </w:r>
      <w:r>
        <w:rPr>
          <w:rStyle w:val="VariableTok"/>
        </w:rPr>
        <w:t xml:space="preserve">$true</w:t>
      </w:r>
      <w:r>
        <w:rPr>
          <w:rStyle w:val="NormalTok"/>
        </w:rPr>
        <w:t xml:space="preserve"> `</w:t>
      </w:r>
      <w:r>
        <w:br/>
      </w:r>
      <w:r>
        <w:rPr>
          <w:rStyle w:val="NormalTok"/>
        </w:rPr>
        <w:t xml:space="preserve">        </w:t>
      </w:r>
      <w:r>
        <w:rPr>
          <w:rStyle w:val="OperatorTok"/>
        </w:rPr>
        <w:t xml:space="preserve">-</w:t>
      </w:r>
      <w:r>
        <w:rPr>
          <w:rStyle w:val="NormalTok"/>
        </w:rPr>
        <w:t xml:space="preserve">GroupTypes </w:t>
      </w:r>
      <w:r>
        <w:rPr>
          <w:rStyle w:val="OperatorTok"/>
        </w:rPr>
        <w:t xml:space="preserve">@(</w:t>
      </w:r>
      <w:r>
        <w:rPr>
          <w:rStyle w:val="StringTok"/>
        </w:rPr>
        <w:t xml:space="preserve">'DynamicMembership'</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MembershipRule </w:t>
      </w:r>
      <w:r>
        <w:rPr>
          <w:rStyle w:val="VariableTok"/>
        </w:rPr>
        <w:t xml:space="preserve">$g</w:t>
      </w:r>
      <w:r>
        <w:rPr>
          <w:rStyle w:val="OperatorTok"/>
        </w:rPr>
        <w:t xml:space="preserve">.</w:t>
      </w:r>
      <w:r>
        <w:rPr>
          <w:rStyle w:val="FunctionTok"/>
        </w:rPr>
        <w:t xml:space="preserve">Rule</w:t>
      </w:r>
      <w:r>
        <w:rPr>
          <w:rStyle w:val="NormalTok"/>
        </w:rPr>
        <w:t xml:space="preserve"> `</w:t>
      </w:r>
      <w:r>
        <w:br/>
      </w:r>
      <w:r>
        <w:rPr>
          <w:rStyle w:val="NormalTok"/>
        </w:rPr>
        <w:t xml:space="preserve">        </w:t>
      </w:r>
      <w:r>
        <w:rPr>
          <w:rStyle w:val="OperatorTok"/>
        </w:rPr>
        <w:t xml:space="preserve">-</w:t>
      </w:r>
      <w:r>
        <w:rPr>
          <w:rStyle w:val="NormalTok"/>
        </w:rPr>
        <w:t xml:space="preserve">MembershipRuleProcessingState </w:t>
      </w:r>
      <w:r>
        <w:rPr>
          <w:rStyle w:val="StringTok"/>
        </w:rPr>
        <w:t xml:space="preserve">'On'</w:t>
      </w:r>
      <w:r>
        <w:br/>
      </w:r>
      <w:r>
        <w:rPr>
          <w:rStyle w:val="OperatorTok"/>
        </w:rPr>
        <w:t xml:space="preserve">}</w:t>
      </w:r>
    </w:p>
    <w:p>
      <w:pPr>
        <w:pStyle w:val="FirstParagraph"/>
      </w:pPr>
      <w:r>
        <w:t xml:space="preserve">The source’s region rule matched</w:t>
      </w:r>
      <w:r>
        <w:t xml:space="preserve"> </w:t>
      </w:r>
      <w:r>
        <w:rPr>
          <w:rStyle w:val="VerbatimChar"/>
        </w:rPr>
        <w:t xml:space="preserve">EASTUS</w:t>
      </w:r>
      <w:r>
        <w:t xml:space="preserve"> </w:t>
      </w:r>
      <w:r>
        <w:t xml:space="preserve">while its schema listed</w:t>
      </w:r>
      <w:r>
        <w:t xml:space="preserve"> </w:t>
      </w:r>
      <w:r>
        <w:rPr>
          <w:rStyle w:val="VerbatimChar"/>
        </w:rPr>
        <w:t xml:space="preserve">East</w:t>
      </w:r>
      <w:r>
        <w:t xml:space="preserve">. A rule only works if it matches the value provisioning writes, so the program fixes one spelling per value in the schema and uses it everywhere.</w:t>
      </w:r>
    </w:p>
    <w:bookmarkEnd w:id="177"/>
    <w:bookmarkStart w:id="178" w:name="X0efa65c041cfdd81a93b6381e000f519324dca6"/>
    <w:p>
      <w:pPr>
        <w:pStyle w:val="Heading3"/>
      </w:pPr>
      <w:r>
        <w:t xml:space="preserve">The same group through the Graph REST API</w:t>
      </w:r>
    </w:p>
    <w:p>
      <w:pPr>
        <w:pStyle w:val="SourceCode"/>
      </w:pPr>
      <w:r>
        <w:rPr>
          <w:rStyle w:val="VerbatimChar"/>
        </w:rPr>
        <w:t xml:space="preserve">POST https://graph.microsoft.com/v1.0/groups</w:t>
      </w:r>
      <w:r>
        <w:br/>
      </w:r>
      <w:r>
        <w:rPr>
          <w:rStyle w:val="VerbatimChar"/>
        </w:rPr>
        <w:t xml:space="preserve">Content-Type: application/json</w:t>
      </w:r>
      <w:r>
        <w:br/>
      </w:r>
      <w:r>
        <w:br/>
      </w:r>
      <w:r>
        <w:rPr>
          <w:rStyle w:val="VerbatimChar"/>
        </w:rPr>
        <w:t xml:space="preserve">{</w:t>
      </w:r>
      <w:r>
        <w:br/>
      </w:r>
      <w:r>
        <w:rPr>
          <w:rStyle w:val="VerbatimChar"/>
        </w:rPr>
        <w:t xml:space="preserve">  "displayName": "FMP-Devices-Tier0",</w:t>
      </w:r>
      <w:r>
        <w:br/>
      </w:r>
      <w:r>
        <w:rPr>
          <w:rStyle w:val="VerbatimChar"/>
        </w:rPr>
        <w:t xml:space="preserve">  "description": "Tier 0 privileged access workstations",</w:t>
      </w:r>
      <w:r>
        <w:br/>
      </w:r>
      <w:r>
        <w:rPr>
          <w:rStyle w:val="VerbatimChar"/>
        </w:rPr>
        <w:t xml:space="preserve">  "mailEnabled": false,</w:t>
      </w:r>
      <w:r>
        <w:br/>
      </w:r>
      <w:r>
        <w:rPr>
          <w:rStyle w:val="VerbatimChar"/>
        </w:rPr>
        <w:t xml:space="preserve">  "mailNickname": "fmp-devices-tier0",</w:t>
      </w:r>
      <w:r>
        <w:br/>
      </w:r>
      <w:r>
        <w:rPr>
          <w:rStyle w:val="VerbatimChar"/>
        </w:rPr>
        <w:t xml:space="preserve">  "securityEnabled": true,</w:t>
      </w:r>
      <w:r>
        <w:br/>
      </w:r>
      <w:r>
        <w:rPr>
          <w:rStyle w:val="VerbatimChar"/>
        </w:rPr>
        <w:t xml:space="preserve">  "groupTypes": ["DynamicMembership"],</w:t>
      </w:r>
      <w:r>
        <w:br/>
      </w:r>
      <w:r>
        <w:rPr>
          <w:rStyle w:val="VerbatimChar"/>
        </w:rPr>
        <w:t xml:space="preserve">  "membershipRule": "(device.extensionAttribute11 -eq \"Tier0\")",</w:t>
      </w:r>
      <w:r>
        <w:br/>
      </w:r>
      <w:r>
        <w:rPr>
          <w:rStyle w:val="VerbatimChar"/>
        </w:rPr>
        <w:t xml:space="preserve">  "membershipRuleProcessingState": "On"</w:t>
      </w:r>
      <w:r>
        <w:br/>
      </w:r>
      <w:r>
        <w:rPr>
          <w:rStyle w:val="VerbatimChar"/>
        </w:rPr>
        <w:t xml:space="preserve">}</w:t>
      </w:r>
    </w:p>
    <w:bookmarkEnd w:id="178"/>
    <w:bookmarkStart w:id="182" w:name="assignment-filter-examples"/>
    <w:p>
      <w:pPr>
        <w:pStyle w:val="Heading3"/>
      </w:pPr>
      <w:r>
        <w:t xml:space="preserve">Assignment filter examples</w:t>
      </w:r>
    </w:p>
    <w:p>
      <w:pPr>
        <w:pStyle w:val="FirstParagraph"/>
      </w:pPr>
      <w:r>
        <w:t xml:space="preserve">Filters use Intune device properties, not extension attributes.</w:t>
      </w:r>
      <w:r>
        <w:rPr>
          <w:rStyle w:val="FootnoteReference"/>
        </w:rPr>
        <w:footnoteReference w:id="179"/>
      </w:r>
    </w:p>
    <w:p>
      <w:pPr>
        <w:pStyle w:val="SourceCode"/>
      </w:pPr>
      <w:r>
        <w:rPr>
          <w:rStyle w:val="VerbatimChar"/>
        </w:rPr>
        <w:t xml:space="preserve">// Only Entra-joined devices (excludes hybrid joined during transition)</w:t>
      </w:r>
      <w:r>
        <w:br/>
      </w:r>
      <w:r>
        <w:rPr>
          <w:rStyle w:val="VerbatimChar"/>
        </w:rPr>
        <w:t xml:space="preserve">(device.deviceTrustType -eq "Azure AD joined")</w:t>
      </w:r>
      <w:r>
        <w:br/>
      </w:r>
      <w:r>
        <w:br/>
      </w:r>
      <w:r>
        <w:rPr>
          <w:rStyle w:val="VerbatimChar"/>
        </w:rPr>
        <w:t xml:space="preserve">// Only corporate-owned devices</w:t>
      </w:r>
      <w:r>
        <w:br/>
      </w:r>
      <w:r>
        <w:rPr>
          <w:rStyle w:val="VerbatimChar"/>
        </w:rPr>
        <w:t xml:space="preserve">(device.deviceOwnership -eq "Corporate")</w:t>
      </w:r>
      <w:r>
        <w:br/>
      </w:r>
      <w:r>
        <w:br/>
      </w:r>
      <w:r>
        <w:rPr>
          <w:rStyle w:val="VerbatimChar"/>
        </w:rPr>
        <w:t xml:space="preserve">// Kiosks provisioned with the kiosk Autopilot profile</w:t>
      </w:r>
      <w:r>
        <w:br/>
      </w:r>
      <w:r>
        <w:rPr>
          <w:rStyle w:val="VerbatimChar"/>
        </w:rPr>
        <w:t xml:space="preserve">(device.enrollmentProfileName -startsWith "FMP-Kiosk")</w:t>
      </w:r>
      <w:r>
        <w:br/>
      </w:r>
      <w:r>
        <w:br/>
      </w:r>
      <w:r>
        <w:rPr>
          <w:rStyle w:val="VerbatimChar"/>
        </w:rPr>
        <w:t xml:space="preserve">// Enterprise editions only, for policies that need Windows Enterprise features</w:t>
      </w:r>
      <w:r>
        <w:br/>
      </w:r>
      <w:r>
        <w:rPr>
          <w:rStyle w:val="VerbatimChar"/>
        </w:rPr>
        <w:t xml:space="preserve">(device.operatingSystemSKU -in ["Enterprise", "EnterpriseN"])</w:t>
      </w:r>
    </w:p>
    <w:p>
      <w:pPr>
        <w:pStyle w:val="FirstParagraph"/>
      </w:pPr>
      <w:r>
        <w:t xml:space="preserve">The</w:t>
      </w:r>
      <w:r>
        <w:t xml:space="preserve"> </w:t>
      </w:r>
      <w:r>
        <w:rPr>
          <w:rStyle w:val="VerbatimChar"/>
        </w:rPr>
        <w:t xml:space="preserve">deviceTrustType</w:t>
      </w:r>
      <w:r>
        <w:t xml:space="preserve"> </w:t>
      </w:r>
      <w:r>
        <w:t xml:space="preserve">values in an Intune filter are the Intune ones (</w:t>
      </w:r>
      <w:r>
        <w:rPr>
          <w:rStyle w:val="VerbatimChar"/>
        </w:rPr>
        <w:t xml:space="preserve">Azure AD joined</w:t>
      </w:r>
      <w:r>
        <w:t xml:space="preserve">,</w:t>
      </w:r>
      <w:r>
        <w:t xml:space="preserve"> </w:t>
      </w:r>
      <w:r>
        <w:rPr>
          <w:rStyle w:val="VerbatimChar"/>
        </w:rPr>
        <w:t xml:space="preserve">Hybrid Azure AD joined</w:t>
      </w:r>
      <w:r>
        <w:t xml:space="preserve">,</w:t>
      </w:r>
      <w:r>
        <w:t xml:space="preserve"> </w:t>
      </w:r>
      <w:r>
        <w:rPr>
          <w:rStyle w:val="VerbatimChar"/>
        </w:rPr>
        <w:t xml:space="preserve">Azure AD registered</w:t>
      </w:r>
      <w:r>
        <w:t xml:space="preserve">), not the Entra dynamic-rule values (</w:t>
      </w:r>
      <w:r>
        <w:rPr>
          <w:rStyle w:val="VerbatimChar"/>
        </w:rPr>
        <w:t xml:space="preserve">AzureAD</w:t>
      </w:r>
      <w:r>
        <w:t xml:space="preserve">,</w:t>
      </w:r>
      <w:r>
        <w:t xml:space="preserve"> </w:t>
      </w:r>
      <w:r>
        <w:rPr>
          <w:rStyle w:val="VerbatimChar"/>
        </w:rPr>
        <w:t xml:space="preserve">ServerAD</w:t>
      </w:r>
      <w:r>
        <w:t xml:space="preserve">,</w:t>
      </w:r>
      <w:r>
        <w:t xml:space="preserve"> </w:t>
      </w:r>
      <w:r>
        <w:rPr>
          <w:rStyle w:val="VerbatimChar"/>
        </w:rPr>
        <w:t xml:space="preserve">Workplace</w:t>
      </w:r>
      <w:r>
        <w:t xml:space="preserve">).</w:t>
      </w:r>
      <w:r>
        <w:rPr>
          <w:rStyle w:val="FootnoteReference"/>
        </w:rPr>
        <w:footnoteReference w:id="180"/>
      </w:r>
      <w:r>
        <w:rPr>
          <w:rStyle w:val="FootnoteReference"/>
        </w:rPr>
        <w:footnoteReference w:id="181"/>
      </w:r>
    </w:p>
    <w:bookmarkEnd w:id="182"/>
    <w:bookmarkEnd w:id="183"/>
    <w:bookmarkStart w:id="204" w:name="microsoft-graph-templates"/>
    <w:p>
      <w:pPr>
        <w:pStyle w:val="Heading2"/>
      </w:pPr>
      <w:r>
        <w:t xml:space="preserve">Microsoft Graph templates</w:t>
      </w:r>
    </w:p>
    <w:p>
      <w:pPr>
        <w:pStyle w:val="FirstParagraph"/>
      </w:pPr>
      <w:r>
        <w:t xml:space="preserve">These payloads create the policies as code. They are where the source needed the most correction.</w:t>
      </w:r>
    </w:p>
    <w:p>
      <w:pPr>
        <w:pStyle w:val="Compact"/>
        <w:numPr>
          <w:ilvl w:val="0"/>
          <w:numId w:val="1008"/>
        </w:numPr>
      </w:pPr>
      <w:r>
        <w:rPr>
          <w:b/>
          <w:bCs/>
        </w:rPr>
        <w:t xml:space="preserve">Compliance policies are in v1.0, but most Windows settings aren’t.</w:t>
      </w:r>
      <w:r>
        <w:t xml:space="preserve"> </w:t>
      </w:r>
      <w:r>
        <w:t xml:space="preserve">The v1.0</w:t>
      </w:r>
      <w:r>
        <w:t xml:space="preserve"> </w:t>
      </w:r>
      <w:r>
        <w:rPr>
          <w:rStyle w:val="VerbatimChar"/>
        </w:rPr>
        <w:t xml:space="preserve">windows10CompliancePolicy</w:t>
      </w:r>
      <w:r>
        <w:t xml:space="preserve"> </w:t>
      </w:r>
      <w:r>
        <w:t xml:space="preserve">resource carries password, OS version and health attestation settings (BitLocker, Secure Boot, code integrity, storage encryption).</w:t>
      </w:r>
      <w:r>
        <w:rPr>
          <w:rStyle w:val="FootnoteReference"/>
        </w:rPr>
        <w:footnoteReference w:id="184"/>
      </w:r>
      <w:r>
        <w:t xml:space="preserve"> </w:t>
      </w:r>
      <w:r>
        <w:t xml:space="preserve">The firewall, TPM, Defender, antivirus, antispyware, real-time protection and signature settings exist only on the beta resource.</w:t>
      </w:r>
      <w:r>
        <w:rPr>
          <w:rStyle w:val="FootnoteReference"/>
        </w:rPr>
        <w:footnoteReference w:id="186"/>
      </w:r>
      <w:r>
        <w:t xml:space="preserve"> </w:t>
      </w:r>
      <w:r>
        <w:t xml:space="preserve">The source posted all of them to v1.0. The program uses beta for compliance policies and accepts that beta APIs change more often.</w:t>
      </w:r>
    </w:p>
    <w:p>
      <w:pPr>
        <w:pStyle w:val="Compact"/>
        <w:numPr>
          <w:ilvl w:val="0"/>
          <w:numId w:val="1008"/>
        </w:numPr>
      </w:pPr>
      <w:r>
        <w:rPr>
          <w:b/>
          <w:bCs/>
        </w:rPr>
        <w:t xml:space="preserve">Every compliance policy needs a scheduled action.</w:t>
      </w:r>
      <w:r>
        <w:t xml:space="preserve"> </w:t>
      </w:r>
      <w:r>
        <w:rPr>
          <w:rStyle w:val="VerbatimChar"/>
        </w:rPr>
        <w:t xml:space="preserve">scheduledActionsForRule</w:t>
      </w:r>
      <w:r>
        <w:t xml:space="preserve"> </w:t>
      </w:r>
      <w:r>
        <w:t xml:space="preserve">is required when creating a per-platform compliance policy.</w:t>
      </w:r>
      <w:r>
        <w:rPr>
          <w:rStyle w:val="FootnoteReference"/>
        </w:rPr>
        <w:footnoteReference w:id="188"/>
      </w:r>
      <w:r>
        <w:t xml:space="preserve"> </w:t>
      </w:r>
      <w:r>
        <w:t xml:space="preserve">Each action’s</w:t>
      </w:r>
      <w:r>
        <w:t xml:space="preserve"> </w:t>
      </w:r>
      <w:r>
        <w:rPr>
          <w:rStyle w:val="VerbatimChar"/>
        </w:rPr>
        <w:t xml:space="preserve">actionType</w:t>
      </w:r>
      <w:r>
        <w:t xml:space="preserve"> </w:t>
      </w:r>
      <w:r>
        <w:t xml:space="preserve">is one of</w:t>
      </w:r>
      <w:r>
        <w:t xml:space="preserve"> </w:t>
      </w:r>
      <w:r>
        <w:rPr>
          <w:rStyle w:val="VerbatimChar"/>
        </w:rPr>
        <w:t xml:space="preserve">noAction</w:t>
      </w:r>
      <w:r>
        <w:t xml:space="preserve">,</w:t>
      </w:r>
      <w:r>
        <w:t xml:space="preserve"> </w:t>
      </w:r>
      <w:r>
        <w:rPr>
          <w:rStyle w:val="VerbatimChar"/>
        </w:rPr>
        <w:t xml:space="preserve">notification</w:t>
      </w:r>
      <w:r>
        <w:t xml:space="preserve">,</w:t>
      </w:r>
      <w:r>
        <w:t xml:space="preserve"> </w:t>
      </w:r>
      <w:r>
        <w:rPr>
          <w:rStyle w:val="VerbatimChar"/>
        </w:rPr>
        <w:t xml:space="preserve">block</w:t>
      </w:r>
      <w:r>
        <w:t xml:space="preserve">,</w:t>
      </w:r>
      <w:r>
        <w:t xml:space="preserve"> </w:t>
      </w:r>
      <w:r>
        <w:rPr>
          <w:rStyle w:val="VerbatimChar"/>
        </w:rPr>
        <w:t xml:space="preserve">retire</w:t>
      </w:r>
      <w:r>
        <w:t xml:space="preserve">,</w:t>
      </w:r>
      <w:r>
        <w:t xml:space="preserve"> </w:t>
      </w:r>
      <w:r>
        <w:rPr>
          <w:rStyle w:val="VerbatimChar"/>
        </w:rPr>
        <w:t xml:space="preserve">wipe</w:t>
      </w:r>
      <w:r>
        <w:t xml:space="preserve">,</w:t>
      </w:r>
      <w:r>
        <w:t xml:space="preserve"> </w:t>
      </w:r>
      <w:r>
        <w:rPr>
          <w:rStyle w:val="VerbatimChar"/>
        </w:rPr>
        <w:t xml:space="preserve">removeResourceAccessProfiles</w:t>
      </w:r>
      <w:r>
        <w:t xml:space="preserve"> </w:t>
      </w:r>
      <w:r>
        <w:t xml:space="preserve">or</w:t>
      </w:r>
      <w:r>
        <w:t xml:space="preserve"> </w:t>
      </w:r>
      <w:r>
        <w:rPr>
          <w:rStyle w:val="VerbatimChar"/>
        </w:rPr>
        <w:t xml:space="preserve">pushNotification</w:t>
      </w:r>
      <w:r>
        <w:t xml:space="preserve">, with a grace period in hours.</w:t>
      </w:r>
      <w:r>
        <w:rPr>
          <w:rStyle w:val="FootnoteReference"/>
        </w:rPr>
        <w:footnoteReference w:id="189"/>
      </w:r>
      <w:r>
        <w:t xml:space="preserve"> </w:t>
      </w:r>
      <w:r>
        <w:t xml:space="preserve">In Graph,</w:t>
      </w:r>
      <w:r>
        <w:t xml:space="preserve"> </w:t>
      </w:r>
      <w:r>
        <w:rPr>
          <w:rStyle w:val="VerbatimChar"/>
        </w:rPr>
        <w:t xml:space="preserve">block</w:t>
      </w:r>
      <w:r>
        <w:t xml:space="preserve"> </w:t>
      </w:r>
      <w:r>
        <w:t xml:space="preserve">with a grace period is the API form of the portal’s</w:t>
      </w:r>
      <w:r>
        <w:t xml:space="preserve"> </w:t>
      </w:r>
      <w:r>
        <w:rPr>
          <w:b/>
          <w:bCs/>
        </w:rPr>
        <w:t xml:space="preserve">Mark device noncompliant</w:t>
      </w:r>
      <w:r>
        <w:t xml:space="preserve"> </w:t>
      </w:r>
      <w:r>
        <w:t xml:space="preserve">schedule, which is why the API counts in hours while the portal counts in days.</w:t>
      </w:r>
    </w:p>
    <w:p>
      <w:pPr>
        <w:pStyle w:val="Compact"/>
        <w:numPr>
          <w:ilvl w:val="0"/>
          <w:numId w:val="1008"/>
        </w:numPr>
      </w:pPr>
      <w:r>
        <w:rPr>
          <w:b/>
          <w:bCs/>
        </w:rPr>
        <w:t xml:space="preserve">Settings catalog and endpoint security policies are beta only.</w:t>
      </w:r>
      <w:r>
        <w:t xml:space="preserve"> </w:t>
      </w:r>
      <w:r>
        <w:rPr>
          <w:rStyle w:val="VerbatimChar"/>
        </w:rPr>
        <w:t xml:space="preserve">deviceManagement/configurationPolicies</w:t>
      </w:r>
      <w:r>
        <w:t xml:space="preserve"> </w:t>
      </w:r>
      <w:r>
        <w:t xml:space="preserve">is a beta API.</w:t>
      </w:r>
      <w:r>
        <w:rPr>
          <w:rStyle w:val="FootnoteReference"/>
        </w:rPr>
        <w:footnoteReference w:id="191"/>
      </w:r>
      <w:r>
        <w:t xml:space="preserve"> </w:t>
      </w:r>
      <w:r>
        <w:t xml:space="preserve">The source’s endpoint security example used</w:t>
      </w:r>
      <w:r>
        <w:t xml:space="preserve"> </w:t>
      </w:r>
      <w:r>
        <w:rPr>
          <w:rStyle w:val="VerbatimChar"/>
        </w:rPr>
        <w:t xml:space="preserve">deviceManagement/intents</w:t>
      </w:r>
      <w:r>
        <w:t xml:space="preserve">, the older template-based API, which is also beta only;</w:t>
      </w:r>
      <w:r>
        <w:rPr>
          <w:rStyle w:val="FootnoteReference"/>
        </w:rPr>
        <w:footnoteReference w:id="193"/>
      </w:r>
      <w:r>
        <w:t xml:space="preserve"> </w:t>
      </w:r>
      <w:r>
        <w:t xml:space="preserve">current endpoint security policies are settings catalog policies created through</w:t>
      </w:r>
      <w:r>
        <w:t xml:space="preserve"> </w:t>
      </w:r>
      <w:r>
        <w:rPr>
          <w:rStyle w:val="VerbatimChar"/>
        </w:rPr>
        <w:t xml:space="preserve">configurationPolicies</w:t>
      </w:r>
      <w:r>
        <w:t xml:space="preserve"> </w:t>
      </w:r>
      <w:r>
        <w:t xml:space="preserve">with a template reference. The source’s intents example is not carried.</w:t>
      </w:r>
    </w:p>
    <w:bookmarkStart w:id="195" w:name="cp-001-as-a-compliance-policy"/>
    <w:p>
      <w:pPr>
        <w:pStyle w:val="Heading3"/>
      </w:pPr>
      <w:r>
        <w:t xml:space="preserve">CP-001 as a compliance policy</w:t>
      </w:r>
    </w:p>
    <w:p>
      <w:pPr>
        <w:pStyle w:val="SourceCode"/>
      </w:pPr>
      <w:r>
        <w:rPr>
          <w:rStyle w:val="VerbatimChar"/>
        </w:rPr>
        <w:t xml:space="preserve">POST https://graph.microsoft.com/beta/deviceManagement/deviceCompliancePolicies</w:t>
      </w:r>
      <w:r>
        <w:br/>
      </w:r>
      <w:r>
        <w:rPr>
          <w:rStyle w:val="VerbatimChar"/>
        </w:rPr>
        <w:t xml:space="preserve">Content-Type: application/json</w:t>
      </w:r>
      <w:r>
        <w:br/>
      </w:r>
      <w:r>
        <w:br/>
      </w:r>
      <w:r>
        <w:rPr>
          <w:rStyle w:val="VerbatimChar"/>
        </w:rPr>
        <w:t xml:space="preserve">{</w:t>
      </w:r>
      <w:r>
        <w:br/>
      </w:r>
      <w:r>
        <w:rPr>
          <w:rStyle w:val="VerbatimChar"/>
        </w:rPr>
        <w:t xml:space="preserve">  "@odata.type": "#microsoft.graph.windows10CompliancePolicy",</w:t>
      </w:r>
      <w:r>
        <w:br/>
      </w:r>
      <w:r>
        <w:rPr>
          <w:rStyle w:val="VerbatimChar"/>
        </w:rPr>
        <w:t xml:space="preserve">  "displayName": "FMP-CP-001-Workstation-Baseline",</w:t>
      </w:r>
      <w:r>
        <w:br/>
      </w:r>
      <w:r>
        <w:rPr>
          <w:rStyle w:val="VerbatimChar"/>
        </w:rPr>
        <w:t xml:space="preserve">  "description": "Windows workstation baseline compliance",</w:t>
      </w:r>
      <w:r>
        <w:br/>
      </w:r>
      <w:r>
        <w:rPr>
          <w:rStyle w:val="VerbatimChar"/>
        </w:rPr>
        <w:t xml:space="preserve">  "passwordRequired": true,</w:t>
      </w:r>
      <w:r>
        <w:br/>
      </w:r>
      <w:r>
        <w:rPr>
          <w:rStyle w:val="VerbatimChar"/>
        </w:rPr>
        <w:t xml:space="preserve">  "passwordMinimumLength": 14,</w:t>
      </w:r>
      <w:r>
        <w:br/>
      </w:r>
      <w:r>
        <w:rPr>
          <w:rStyle w:val="VerbatimChar"/>
        </w:rPr>
        <w:t xml:space="preserve">  "passwordRequiredType": "alphanumeric",</w:t>
      </w:r>
      <w:r>
        <w:br/>
      </w:r>
      <w:r>
        <w:rPr>
          <w:rStyle w:val="VerbatimChar"/>
        </w:rPr>
        <w:t xml:space="preserve">  "passwordMinutesOfInactivityBeforeLock": 15,</w:t>
      </w:r>
      <w:r>
        <w:br/>
      </w:r>
      <w:r>
        <w:rPr>
          <w:rStyle w:val="VerbatimChar"/>
        </w:rPr>
        <w:t xml:space="preserve">  "osMinimumVersion": "10.0.26100",</w:t>
      </w:r>
      <w:r>
        <w:br/>
      </w:r>
      <w:r>
        <w:rPr>
          <w:rStyle w:val="VerbatimChar"/>
        </w:rPr>
        <w:t xml:space="preserve">  "secureBootEnabled": true,</w:t>
      </w:r>
      <w:r>
        <w:br/>
      </w:r>
      <w:r>
        <w:rPr>
          <w:rStyle w:val="VerbatimChar"/>
        </w:rPr>
        <w:t xml:space="preserve">  "codeIntegrityEnabled": true,</w:t>
      </w:r>
      <w:r>
        <w:br/>
      </w:r>
      <w:r>
        <w:rPr>
          <w:rStyle w:val="VerbatimChar"/>
        </w:rPr>
        <w:t xml:space="preserve">  "bitLockerEnabled": true,</w:t>
      </w:r>
      <w:r>
        <w:br/>
      </w:r>
      <w:r>
        <w:rPr>
          <w:rStyle w:val="VerbatimChar"/>
        </w:rPr>
        <w:t xml:space="preserve">  "tpmRequired": true,</w:t>
      </w:r>
      <w:r>
        <w:br/>
      </w:r>
      <w:r>
        <w:rPr>
          <w:rStyle w:val="VerbatimChar"/>
        </w:rPr>
        <w:t xml:space="preserve">  "activeFirewallRequired": true,</w:t>
      </w:r>
      <w:r>
        <w:br/>
      </w:r>
      <w:r>
        <w:rPr>
          <w:rStyle w:val="VerbatimChar"/>
        </w:rPr>
        <w:t xml:space="preserve">  "defenderEnabled": true,</w:t>
      </w:r>
      <w:r>
        <w:br/>
      </w:r>
      <w:r>
        <w:rPr>
          <w:rStyle w:val="VerbatimChar"/>
        </w:rPr>
        <w:t xml:space="preserve">  "antivirusRequired": true,</w:t>
      </w:r>
      <w:r>
        <w:br/>
      </w:r>
      <w:r>
        <w:rPr>
          <w:rStyle w:val="VerbatimChar"/>
        </w:rPr>
        <w:t xml:space="preserve">  "antiSpywareRequired": true,</w:t>
      </w:r>
      <w:r>
        <w:br/>
      </w:r>
      <w:r>
        <w:rPr>
          <w:rStyle w:val="VerbatimChar"/>
        </w:rPr>
        <w:t xml:space="preserve">  "signatureOutOfDate": true,</w:t>
      </w:r>
      <w:r>
        <w:br/>
      </w:r>
      <w:r>
        <w:rPr>
          <w:rStyle w:val="VerbatimChar"/>
        </w:rPr>
        <w:t xml:space="preserve">  "rtpEnabled": true,</w:t>
      </w:r>
      <w:r>
        <w:br/>
      </w:r>
      <w:r>
        <w:rPr>
          <w:rStyle w:val="VerbatimChar"/>
        </w:rPr>
        <w:t xml:space="preserve">  "scheduledActionsForRule": [</w:t>
      </w:r>
      <w:r>
        <w:br/>
      </w:r>
      <w:r>
        <w:rPr>
          <w:rStyle w:val="VerbatimChar"/>
        </w:rPr>
        <w:t xml:space="preserve">    {</w:t>
      </w:r>
      <w:r>
        <w:br/>
      </w:r>
      <w:r>
        <w:rPr>
          <w:rStyle w:val="VerbatimChar"/>
        </w:rPr>
        <w:t xml:space="preserve">      "ruleName": "PasswordRequired",</w:t>
      </w:r>
      <w:r>
        <w:br/>
      </w:r>
      <w:r>
        <w:rPr>
          <w:rStyle w:val="VerbatimChar"/>
        </w:rPr>
        <w:t xml:space="preserve">      "scheduledActionConfigurations": [</w:t>
      </w:r>
      <w:r>
        <w:br/>
      </w:r>
      <w:r>
        <w:rPr>
          <w:rStyle w:val="VerbatimChar"/>
        </w:rPr>
        <w:t xml:space="preserve">        { "actionType": "block",        "gracePeriodHours": 24,  "notificationTemplateId": "", "notificationMessageCCList": [] },</w:t>
      </w:r>
      <w:r>
        <w:br/>
      </w:r>
      <w:r>
        <w:rPr>
          <w:rStyle w:val="VerbatimChar"/>
        </w:rPr>
        <w:t xml:space="preserve">        { "actionType": "notification", "gracePeriodHours": 24,  "notificationTemplateId": "&lt;message template ID&gt;" },</w:t>
      </w:r>
      <w:r>
        <w:br/>
      </w:r>
      <w:r>
        <w:rPr>
          <w:rStyle w:val="VerbatimChar"/>
        </w:rPr>
        <w:t xml:space="preserve">        { "actionType": "retire",       "gracePeriodHours": 720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w:t>
      </w:r>
    </w:p>
    <w:p>
      <w:pPr>
        <w:pStyle w:val="FirstParagraph"/>
      </w:pPr>
      <w:r>
        <w:t xml:space="preserve">The source set the minimum OS to</w:t>
      </w:r>
      <w:r>
        <w:t xml:space="preserve"> </w:t>
      </w:r>
      <w:r>
        <w:rPr>
          <w:rStyle w:val="VerbatimChar"/>
        </w:rPr>
        <w:t xml:space="preserve">10.0.19045</w:t>
      </w:r>
      <w:r>
        <w:t xml:space="preserve"> </w:t>
      </w:r>
      <w:r>
        <w:t xml:space="preserve">(Windows 10 22H2); it is</w:t>
      </w:r>
      <w:r>
        <w:t xml:space="preserve"> </w:t>
      </w:r>
      <w:r>
        <w:rPr>
          <w:rStyle w:val="VerbatimChar"/>
        </w:rPr>
        <w:t xml:space="preserve">10.0.26100</w:t>
      </w:r>
      <w:r>
        <w:t xml:space="preserve"> </w:t>
      </w:r>
      <w:r>
        <w:t xml:space="preserve">here. The</w:t>
      </w:r>
      <w:r>
        <w:t xml:space="preserve"> </w:t>
      </w:r>
      <w:r>
        <w:rPr>
          <w:rStyle w:val="VerbatimChar"/>
        </w:rPr>
        <w:t xml:space="preserve">retire</w:t>
      </w:r>
      <w:r>
        <w:t xml:space="preserve"> </w:t>
      </w:r>
      <w:r>
        <w:t xml:space="preserve">action at 720 hours is the API form of adding the device to the retire list after 30 days. The</w:t>
      </w:r>
      <w:r>
        <w:t xml:space="preserve"> </w:t>
      </w:r>
      <w:r>
        <w:rPr>
          <w:rStyle w:val="VerbatimChar"/>
        </w:rPr>
        <w:t xml:space="preserve">notification</w:t>
      </w:r>
      <w:r>
        <w:t xml:space="preserve"> </w:t>
      </w:r>
      <w:r>
        <w:t xml:space="preserve">action needs the ID of a notification message template created first.</w:t>
      </w:r>
    </w:p>
    <w:bookmarkEnd w:id="195"/>
    <w:bookmarkStart w:id="198" w:name="X4fe6f38dcab4cab3d7e62e97e1c4d4c028acb98"/>
    <w:p>
      <w:pPr>
        <w:pStyle w:val="Heading3"/>
      </w:pPr>
      <w:r>
        <w:t xml:space="preserve">ES-001’s Defender settings as a configuration policy</w:t>
      </w:r>
    </w:p>
    <w:p>
      <w:pPr>
        <w:pStyle w:val="SourceCode"/>
      </w:pPr>
      <w:r>
        <w:rPr>
          <w:rStyle w:val="VerbatimChar"/>
        </w:rPr>
        <w:t xml:space="preserve">POST https://graph.microsoft.com/beta/deviceManagement/configurationPolicies</w:t>
      </w:r>
      <w:r>
        <w:br/>
      </w:r>
      <w:r>
        <w:rPr>
          <w:rStyle w:val="VerbatimChar"/>
        </w:rPr>
        <w:t xml:space="preserve">Content-Type: application/json</w:t>
      </w:r>
      <w:r>
        <w:br/>
      </w:r>
      <w:r>
        <w:br/>
      </w:r>
      <w:r>
        <w:rPr>
          <w:rStyle w:val="VerbatimChar"/>
        </w:rPr>
        <w:t xml:space="preserve">{</w:t>
      </w:r>
      <w:r>
        <w:br/>
      </w:r>
      <w:r>
        <w:rPr>
          <w:rStyle w:val="VerbatimChar"/>
        </w:rPr>
        <w:t xml:space="preserve">  "name": "FMP-ES-001-Defender-Antivirus",</w:t>
      </w:r>
      <w:r>
        <w:br/>
      </w:r>
      <w:r>
        <w:rPr>
          <w:rStyle w:val="VerbatimChar"/>
        </w:rPr>
        <w:t xml:space="preserve">  "description": "Microsoft Defender Antivirus configuration",</w:t>
      </w:r>
      <w:r>
        <w:br/>
      </w:r>
      <w:r>
        <w:rPr>
          <w:rStyle w:val="VerbatimChar"/>
        </w:rPr>
        <w:t xml:space="preserve">  "platforms": "windows10",</w:t>
      </w:r>
      <w:r>
        <w:br/>
      </w:r>
      <w:r>
        <w:rPr>
          <w:rStyle w:val="VerbatimChar"/>
        </w:rPr>
        <w:t xml:space="preserve">  "technologies": "mdm",</w:t>
      </w:r>
      <w:r>
        <w:br/>
      </w:r>
      <w:r>
        <w:rPr>
          <w:rStyle w:val="VerbatimChar"/>
        </w:rPr>
        <w:t xml:space="preserve">  "settings":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"#microsoft.graph.deviceManagementConfigurationChoiceSettingInstance",</w:t>
      </w:r>
      <w:r>
        <w:br/>
      </w:r>
      <w:r>
        <w:rPr>
          <w:rStyle w:val="VerbatimChar"/>
        </w:rPr>
        <w:t xml:space="preserve">        "settingDefinitionId": "device_vendor_msft_policy_config_defender_allowrealtimemonitoring",</w:t>
      </w:r>
      <w:r>
        <w:br/>
      </w:r>
      <w:r>
        <w:rPr>
          <w:rStyle w:val="VerbatimChar"/>
        </w:rPr>
        <w:t xml:space="preserve">        "choiceSettingValue": { "value": "device_vendor_msft_policy_config_defender_allowrealtimemonitoring_1"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"#microsoft.graph.deviceManagementConfigurationChoiceSettingInstance",</w:t>
      </w:r>
      <w:r>
        <w:br/>
      </w:r>
      <w:r>
        <w:rPr>
          <w:rStyle w:val="VerbatimChar"/>
        </w:rPr>
        <w:t xml:space="preserve">        "settingDefinitionId": "device_vendor_msft_policy_config_defender_cloudblocklevel",</w:t>
      </w:r>
      <w:r>
        <w:br/>
      </w:r>
      <w:r>
        <w:rPr>
          <w:rStyle w:val="VerbatimChar"/>
        </w:rPr>
        <w:t xml:space="preserve">        "choiceSettingValue": { "value": "device_vendor_msft_policy_config_defender_cloudblocklevel_2"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"#microsoft.graph.deviceManagementConfigurationSimpleSettingInstance",</w:t>
      </w:r>
      <w:r>
        <w:br/>
      </w:r>
      <w:r>
        <w:rPr>
          <w:rStyle w:val="VerbatimChar"/>
        </w:rPr>
        <w:t xml:space="preserve">        "settingDefinitionId": "device_vendor_msft_policy_config_defender_cloudextendedtimeout",</w:t>
      </w:r>
      <w:r>
        <w:br/>
      </w:r>
      <w:r>
        <w:rPr>
          <w:rStyle w:val="VerbatimChar"/>
        </w:rPr>
        <w:t xml:space="preserve">        "simpleSettingValue": {</w:t>
      </w:r>
      <w:r>
        <w:br/>
      </w:r>
      <w:r>
        <w:rPr>
          <w:rStyle w:val="VerbatimChar"/>
        </w:rPr>
        <w:t xml:space="preserve">          "@odata.type": "#microsoft.graph.deviceManagementConfigurationIntegerSettingValue",</w:t>
      </w:r>
      <w:r>
        <w:br/>
      </w:r>
      <w:r>
        <w:rPr>
          <w:rStyle w:val="VerbatimChar"/>
        </w:rPr>
        <w:t xml:space="preserve">          "value": 50</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"#microsoft.graph.deviceManagementConfigurationChoiceSettingInstance",</w:t>
      </w:r>
      <w:r>
        <w:br/>
      </w:r>
      <w:r>
        <w:rPr>
          <w:rStyle w:val="VerbatimChar"/>
        </w:rPr>
        <w:t xml:space="preserve">        "settingDefinitionId": "device_vendor_msft_policy_config_defender_submitsamplesconsent",</w:t>
      </w:r>
      <w:r>
        <w:br/>
      </w:r>
      <w:r>
        <w:rPr>
          <w:rStyle w:val="VerbatimChar"/>
        </w:rPr>
        <w:t xml:space="preserve">        "choiceSettingValue": { "value": "device_vendor_msft_policy_config_defender_submitsamplesconsent_1"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"settingInstance": {</w:t>
      </w:r>
      <w:r>
        <w:br/>
      </w:r>
      <w:r>
        <w:rPr>
          <w:rStyle w:val="VerbatimChar"/>
        </w:rPr>
        <w:t xml:space="preserve">        "@odata.type": "#microsoft.graph.deviceManagementConfigurationChoiceSettingInstance",</w:t>
      </w:r>
      <w:r>
        <w:br/>
      </w:r>
      <w:r>
        <w:rPr>
          <w:rStyle w:val="VerbatimChar"/>
        </w:rPr>
        <w:t xml:space="preserve">        "settingDefinitionId": "device_vendor_msft_policy_config_defender_puaprotection",</w:t>
      </w:r>
      <w:r>
        <w:br/>
      </w:r>
      <w:r>
        <w:rPr>
          <w:rStyle w:val="VerbatimChar"/>
        </w:rPr>
        <w:t xml:space="preserve">        "choiceSettingValue": { "value": "device_vendor_msft_policy_config_defender_puaprotection_1" }</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w:t>
      </w:r>
    </w:p>
    <w:p>
      <w:pPr>
        <w:pStyle w:val="FirstParagraph"/>
      </w:pPr>
      <w:r>
        <w:t xml:space="preserve">The suffixes follow the CSP values: cloud block level</w:t>
      </w:r>
      <w:r>
        <w:t xml:space="preserve"> </w:t>
      </w:r>
      <w:r>
        <w:rPr>
          <w:rStyle w:val="VerbatimChar"/>
        </w:rPr>
        <w:t xml:space="preserve">2</w:t>
      </w:r>
      <w:r>
        <w:t xml:space="preserve"> </w:t>
      </w:r>
      <w:r>
        <w:t xml:space="preserve">is High, sample consent</w:t>
      </w:r>
      <w:r>
        <w:t xml:space="preserve"> </w:t>
      </w:r>
      <w:r>
        <w:rPr>
          <w:rStyle w:val="VerbatimChar"/>
        </w:rPr>
        <w:t xml:space="preserve">1</w:t>
      </w:r>
      <w:r>
        <w:t xml:space="preserve"> </w:t>
      </w:r>
      <w:r>
        <w:t xml:space="preserve">is send safe samples, PUA protection</w:t>
      </w:r>
      <w:r>
        <w:t xml:space="preserve"> </w:t>
      </w:r>
      <w:r>
        <w:rPr>
          <w:rStyle w:val="VerbatimChar"/>
        </w:rPr>
        <w:t xml:space="preserve">1</w:t>
      </w:r>
      <w:r>
        <w:t xml:space="preserve"> </w:t>
      </w:r>
      <w:r>
        <w:t xml:space="preserve">is on.</w:t>
      </w:r>
      <w:r>
        <w:rPr>
          <w:rStyle w:val="FootnoteReference"/>
        </w:rPr>
        <w:footnoteReference w:id="196"/>
      </w:r>
      <w:r>
        <w:t xml:space="preserve"> </w:t>
      </w:r>
      <w:r>
        <w:t xml:space="preserve">The same</w:t>
      </w:r>
      <w:r>
        <w:t xml:space="preserve"> </w:t>
      </w:r>
      <w:r>
        <w:rPr>
          <w:rStyle w:val="VerbatimChar"/>
        </w:rPr>
        <w:t xml:space="preserve">configurationPolicies</w:t>
      </w:r>
      <w:r>
        <w:t xml:space="preserve"> </w:t>
      </w:r>
      <w:r>
        <w:t xml:space="preserve">API creates settings catalog profiles and Endpoint security policies; an Endpoint security antivirus policy also carries a</w:t>
      </w:r>
      <w:r>
        <w:t xml:space="preserve"> </w:t>
      </w:r>
      <w:r>
        <w:rPr>
          <w:rStyle w:val="VerbatimChar"/>
        </w:rPr>
        <w:t xml:space="preserve">templateReference</w:t>
      </w:r>
      <w:r>
        <w:t xml:space="preserve"> </w:t>
      </w:r>
      <w:r>
        <w:t xml:space="preserve">naming the antivirus template, so ES-001 itself is easiest to build in the admin center and export.</w:t>
      </w:r>
      <w:r>
        <w:rPr>
          <w:rStyle w:val="FootnoteReference"/>
        </w:rPr>
        <w:footnoteReference w:id="197"/>
      </w:r>
      <w:r>
        <w:t xml:space="preserve"> </w:t>
      </w:r>
      <w:r>
        <w:t xml:space="preserve">Export a policy built in the admin center and compare before relying on any setting definition ID; the IDs come from the settings catalog, not from documentation.</w:t>
      </w:r>
    </w:p>
    <w:bookmarkEnd w:id="198"/>
    <w:bookmarkStart w:id="203" w:name="Xc3634d025d034481b6cdca0440d7f32fb65e211"/>
    <w:p>
      <w:pPr>
        <w:pStyle w:val="Heading3"/>
      </w:pPr>
      <w:r>
        <w:t xml:space="preserve">Creating policies with the Graph PowerShell SDK</w:t>
      </w:r>
    </w:p>
    <w:p>
      <w:pPr>
        <w:pStyle w:val="SourceCode"/>
      </w:pPr>
      <w:r>
        <w:rPr>
          <w:rStyle w:val="CommentTok"/>
        </w:rPr>
        <w:t xml:space="preserve"># GCC (Moderate) uses the default global environment; GCC High would add -Environment USGov.</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'DeviceManagementConfiguration.ReadWrite.All'</w:t>
      </w:r>
      <w:r>
        <w:br/>
      </w:r>
      <w:r>
        <w:br/>
      </w:r>
      <w:r>
        <w:rPr>
          <w:rStyle w:val="VariableTok"/>
        </w:rPr>
        <w:t xml:space="preserve">$complianceBody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'@odata.type'</w:t>
      </w:r>
      <w:r>
        <w:rPr>
          <w:rStyle w:val="NormalTok"/>
        </w:rPr>
        <w:t xml:space="preserve">          </w:t>
      </w:r>
      <w:r>
        <w:rPr>
          <w:rStyle w:val="OperatorTok"/>
        </w:rPr>
        <w:t xml:space="preserve">=</w:t>
      </w:r>
      <w:r>
        <w:rPr>
          <w:rStyle w:val="NormalTok"/>
        </w:rPr>
        <w:t xml:space="preserve"> </w:t>
      </w:r>
      <w:r>
        <w:rPr>
          <w:rStyle w:val="StringTok"/>
        </w:rPr>
        <w:t xml:space="preserve">'#microsoft.graph.windows10CompliancePolicy'</w:t>
      </w:r>
      <w:r>
        <w:br/>
      </w:r>
      <w:r>
        <w:rPr>
          <w:rStyle w:val="NormalTok"/>
        </w:rPr>
        <w:t xml:space="preserve">    displayName            </w:t>
      </w:r>
      <w:r>
        <w:rPr>
          <w:rStyle w:val="OperatorTok"/>
        </w:rPr>
        <w:t xml:space="preserve">=</w:t>
      </w:r>
      <w:r>
        <w:rPr>
          <w:rStyle w:val="NormalTok"/>
        </w:rPr>
        <w:t xml:space="preserve"> </w:t>
      </w:r>
      <w:r>
        <w:rPr>
          <w:rStyle w:val="StringTok"/>
        </w:rPr>
        <w:t xml:space="preserve">'FMP-CP-001-Workstation-Baseline'</w:t>
      </w:r>
      <w:r>
        <w:br/>
      </w:r>
      <w:r>
        <w:rPr>
          <w:rStyle w:val="NormalTok"/>
        </w:rPr>
        <w:t xml:space="preserve">    description            </w:t>
      </w:r>
      <w:r>
        <w:rPr>
          <w:rStyle w:val="OperatorTok"/>
        </w:rPr>
        <w:t xml:space="preserve">=</w:t>
      </w:r>
      <w:r>
        <w:rPr>
          <w:rStyle w:val="NormalTok"/>
        </w:rPr>
        <w:t xml:space="preserve"> </w:t>
      </w:r>
      <w:r>
        <w:rPr>
          <w:rStyle w:val="StringTok"/>
        </w:rPr>
        <w:t xml:space="preserve">'Windows workstation baseline compliance'</w:t>
      </w:r>
      <w:r>
        <w:br/>
      </w:r>
      <w:r>
        <w:rPr>
          <w:rStyle w:val="NormalTok"/>
        </w:rPr>
        <w:t xml:space="preserve">    passwordRequired       </w:t>
      </w:r>
      <w:r>
        <w:rPr>
          <w:rStyle w:val="OperatorTok"/>
        </w:rPr>
        <w:t xml:space="preserve">=</w:t>
      </w:r>
      <w:r>
        <w:rPr>
          <w:rStyle w:val="NormalTok"/>
        </w:rPr>
        <w:t xml:space="preserve"> </w:t>
      </w:r>
      <w:r>
        <w:rPr>
          <w:rStyle w:val="VariableTok"/>
        </w:rPr>
        <w:t xml:space="preserve">$true</w:t>
      </w:r>
      <w:r>
        <w:br/>
      </w:r>
      <w:r>
        <w:rPr>
          <w:rStyle w:val="NormalTok"/>
        </w:rPr>
        <w:t xml:space="preserve">    passwordMinimumLength  </w:t>
      </w:r>
      <w:r>
        <w:rPr>
          <w:rStyle w:val="OperatorTok"/>
        </w:rPr>
        <w:t xml:space="preserve">=</w:t>
      </w:r>
      <w:r>
        <w:rPr>
          <w:rStyle w:val="NormalTok"/>
        </w:rPr>
        <w:t xml:space="preserve"> </w:t>
      </w:r>
      <w:r>
        <w:rPr>
          <w:rStyle w:val="DecValTok"/>
        </w:rPr>
        <w:t xml:space="preserve">14</w:t>
      </w:r>
      <w:r>
        <w:br/>
      </w:r>
      <w:r>
        <w:rPr>
          <w:rStyle w:val="NormalTok"/>
        </w:rPr>
        <w:t xml:space="preserve">    osMinimumVersion       </w:t>
      </w:r>
      <w:r>
        <w:rPr>
          <w:rStyle w:val="OperatorTok"/>
        </w:rPr>
        <w:t xml:space="preserve">=</w:t>
      </w:r>
      <w:r>
        <w:rPr>
          <w:rStyle w:val="NormalTok"/>
        </w:rPr>
        <w:t xml:space="preserve"> </w:t>
      </w:r>
      <w:r>
        <w:rPr>
          <w:rStyle w:val="StringTok"/>
        </w:rPr>
        <w:t xml:space="preserve">'10.0.26100'</w:t>
      </w:r>
      <w:r>
        <w:br/>
      </w:r>
      <w:r>
        <w:rPr>
          <w:rStyle w:val="NormalTok"/>
        </w:rPr>
        <w:t xml:space="preserve">    secureBootEnabled      </w:t>
      </w:r>
      <w:r>
        <w:rPr>
          <w:rStyle w:val="OperatorTok"/>
        </w:rPr>
        <w:t xml:space="preserve">=</w:t>
      </w:r>
      <w:r>
        <w:rPr>
          <w:rStyle w:val="NormalTok"/>
        </w:rPr>
        <w:t xml:space="preserve"> </w:t>
      </w:r>
      <w:r>
        <w:rPr>
          <w:rStyle w:val="VariableTok"/>
        </w:rPr>
        <w:t xml:space="preserve">$true</w:t>
      </w:r>
      <w:r>
        <w:br/>
      </w:r>
      <w:r>
        <w:rPr>
          <w:rStyle w:val="NormalTok"/>
        </w:rPr>
        <w:t xml:space="preserve">    codeIntegrityEnabled   </w:t>
      </w:r>
      <w:r>
        <w:rPr>
          <w:rStyle w:val="OperatorTok"/>
        </w:rPr>
        <w:t xml:space="preserve">=</w:t>
      </w:r>
      <w:r>
        <w:rPr>
          <w:rStyle w:val="NormalTok"/>
        </w:rPr>
        <w:t xml:space="preserve"> </w:t>
      </w:r>
      <w:r>
        <w:rPr>
          <w:rStyle w:val="VariableTok"/>
        </w:rPr>
        <w:t xml:space="preserve">$true</w:t>
      </w:r>
      <w:r>
        <w:br/>
      </w:r>
      <w:r>
        <w:rPr>
          <w:rStyle w:val="NormalTok"/>
        </w:rPr>
        <w:t xml:space="preserve">    bitLockerEnabled       </w:t>
      </w:r>
      <w:r>
        <w:rPr>
          <w:rStyle w:val="OperatorTok"/>
        </w:rPr>
        <w:t xml:space="preserve">=</w:t>
      </w:r>
      <w:r>
        <w:rPr>
          <w:rStyle w:val="NormalTok"/>
        </w:rPr>
        <w:t xml:space="preserve"> </w:t>
      </w:r>
      <w:r>
        <w:rPr>
          <w:rStyle w:val="VariableTok"/>
        </w:rPr>
        <w:t xml:space="preserve">$true</w:t>
      </w:r>
      <w:r>
        <w:br/>
      </w:r>
      <w:r>
        <w:rPr>
          <w:rStyle w:val="NormalTok"/>
        </w:rPr>
        <w:t xml:space="preserve">    tpmRequired            </w:t>
      </w:r>
      <w:r>
        <w:rPr>
          <w:rStyle w:val="OperatorTok"/>
        </w:rPr>
        <w:t xml:space="preserve">=</w:t>
      </w:r>
      <w:r>
        <w:rPr>
          <w:rStyle w:val="NormalTok"/>
        </w:rPr>
        <w:t xml:space="preserve"> </w:t>
      </w:r>
      <w:r>
        <w:rPr>
          <w:rStyle w:val="VariableTok"/>
        </w:rPr>
        <w:t xml:space="preserve">$true</w:t>
      </w:r>
      <w:r>
        <w:br/>
      </w:r>
      <w:r>
        <w:rPr>
          <w:rStyle w:val="NormalTok"/>
        </w:rPr>
        <w:t xml:space="preserve">    activeFirewallRequired </w:t>
      </w:r>
      <w:r>
        <w:rPr>
          <w:rStyle w:val="OperatorTok"/>
        </w:rPr>
        <w:t xml:space="preserve">=</w:t>
      </w:r>
      <w:r>
        <w:rPr>
          <w:rStyle w:val="NormalTok"/>
        </w:rPr>
        <w:t xml:space="preserve"> </w:t>
      </w:r>
      <w:r>
        <w:rPr>
          <w:rStyle w:val="VariableTok"/>
        </w:rPr>
        <w:t xml:space="preserve">$true</w:t>
      </w:r>
      <w:r>
        <w:br/>
      </w:r>
      <w:r>
        <w:rPr>
          <w:rStyle w:val="NormalTok"/>
        </w:rPr>
        <w:t xml:space="preserve">    defenderEnabled        </w:t>
      </w:r>
      <w:r>
        <w:rPr>
          <w:rStyle w:val="OperatorTok"/>
        </w:rPr>
        <w:t xml:space="preserve">=</w:t>
      </w:r>
      <w:r>
        <w:rPr>
          <w:rStyle w:val="NormalTok"/>
        </w:rPr>
        <w:t xml:space="preserve"> </w:t>
      </w:r>
      <w:r>
        <w:rPr>
          <w:rStyle w:val="VariableTok"/>
        </w:rPr>
        <w:t xml:space="preserve">$true</w:t>
      </w:r>
      <w:r>
        <w:br/>
      </w:r>
      <w:r>
        <w:rPr>
          <w:rStyle w:val="NormalTok"/>
        </w:rPr>
        <w:t xml:space="preserve">    scheduledActionsForRule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ruleName </w:t>
      </w:r>
      <w:r>
        <w:rPr>
          <w:rStyle w:val="OperatorTok"/>
        </w:rPr>
        <w:t xml:space="preserve">=</w:t>
      </w:r>
      <w:r>
        <w:rPr>
          <w:rStyle w:val="NormalTok"/>
        </w:rPr>
        <w:t xml:space="preserve"> </w:t>
      </w:r>
      <w:r>
        <w:rPr>
          <w:rStyle w:val="StringTok"/>
        </w:rPr>
        <w:t xml:space="preserve">'PasswordRequired'</w:t>
      </w:r>
      <w:r>
        <w:br/>
      </w:r>
      <w:r>
        <w:rPr>
          <w:rStyle w:val="NormalTok"/>
        </w:rPr>
        <w:t xml:space="preserve">            scheduledActionConfigurations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actionType </w:t>
      </w:r>
      <w:r>
        <w:rPr>
          <w:rStyle w:val="OperatorTok"/>
        </w:rPr>
        <w:t xml:space="preserve">=</w:t>
      </w:r>
      <w:r>
        <w:rPr>
          <w:rStyle w:val="NormalTok"/>
        </w:rPr>
        <w:t xml:space="preserve"> </w:t>
      </w:r>
      <w:r>
        <w:rPr>
          <w:rStyle w:val="StringTok"/>
        </w:rPr>
        <w:t xml:space="preserve">'block'</w:t>
      </w:r>
      <w:r>
        <w:rPr>
          <w:rStyle w:val="OperatorTok"/>
        </w:rPr>
        <w:t xml:space="preserve">;</w:t>
      </w:r>
      <w:r>
        <w:rPr>
          <w:rStyle w:val="NormalTok"/>
        </w:rPr>
        <w:t xml:space="preserve"> gracePeriodHours </w:t>
      </w:r>
      <w:r>
        <w:rPr>
          <w:rStyle w:val="OperatorTok"/>
        </w:rPr>
        <w:t xml:space="preserve">=</w:t>
      </w:r>
      <w:r>
        <w:rPr>
          <w:rStyle w:val="NormalTok"/>
        </w:rPr>
        <w:t xml:space="preserve"> </w:t>
      </w:r>
      <w:r>
        <w:rPr>
          <w:rStyle w:val="DecValTok"/>
        </w:rPr>
        <w:t xml:space="preserve">24</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br/>
      </w:r>
      <w:r>
        <w:br/>
      </w:r>
      <w:r>
        <w:rPr>
          <w:rStyle w:val="CommentTok"/>
        </w:rPr>
        <w:t xml:space="preserve"># Beta cmdlet, because tpmRequired, activeFirewallRequired and defenderEnabled are beta-only properties.</w:t>
      </w:r>
      <w:r>
        <w:br/>
      </w:r>
      <w:r>
        <w:rPr>
          <w:rStyle w:val="NormalTok"/>
        </w:rPr>
        <w:t xml:space="preserve">New-MgBetaDeviceManagementDeviceCompliancePolicy </w:t>
      </w:r>
      <w:r>
        <w:rPr>
          <w:rStyle w:val="OperatorTok"/>
        </w:rPr>
        <w:t xml:space="preserve">-</w:t>
      </w:r>
      <w:r>
        <w:rPr>
          <w:rStyle w:val="NormalTok"/>
        </w:rPr>
        <w:t xml:space="preserve">BodyParameter </w:t>
      </w:r>
      <w:r>
        <w:rPr>
          <w:rStyle w:val="VariableTok"/>
        </w:rPr>
        <w:t xml:space="preserve">$complianceBody</w:t>
      </w:r>
    </w:p>
    <w:p>
      <w:pPr>
        <w:pStyle w:val="FirstParagraph"/>
      </w:pPr>
      <w:r>
        <w:t xml:space="preserve">The source’s script created a compliance policy without the required scheduled action, and created an empty</w:t>
      </w:r>
      <w:r>
        <w:t xml:space="preserve"> </w:t>
      </w:r>
      <w:r>
        <w:rPr>
          <w:rStyle w:val="VerbatimChar"/>
        </w:rPr>
        <w:t xml:space="preserve">windows10GeneralConfiguration</w:t>
      </w:r>
      <w:r>
        <w:t xml:space="preserve"> </w:t>
      </w:r>
      <w:r>
        <w:t xml:space="preserve">profile as</w:t>
      </w:r>
      <w:r>
        <w:t xml:space="preserve"> </w:t>
      </w:r>
      <w:r>
        <w:t xml:space="preserve">“SC-001.”</w:t>
      </w:r>
      <w:r>
        <w:t xml:space="preserve"> </w:t>
      </w:r>
      <w:r>
        <w:t xml:space="preserve">That profile type is the older device restrictions template; SC-001 is a settings catalog policy and is created through</w:t>
      </w:r>
      <w:r>
        <w:t xml:space="preserve"> </w:t>
      </w:r>
      <w:r>
        <w:rPr>
          <w:rStyle w:val="VerbatimChar"/>
        </w:rPr>
        <w:t xml:space="preserve">configurationPolicies</w:t>
      </w:r>
      <w:r>
        <w:t xml:space="preserve">, as in the ES-001 example.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00" name="Picture"/>
                  <a:graphic>
                    <a:graphicData uri="http://schemas.openxmlformats.org/drawingml/2006/picture">
                      <pic:pic>
                        <pic:nvPicPr>
                          <pic:cNvPr descr="/opt/quarto/share/formats/docx/tip.png" id="201" name="Picture"/>
                          <pic:cNvPicPr>
                            <a:picLocks noChangeArrowheads="1" noChangeAspect="1"/>
                          </pic:cNvPicPr>
                        </pic:nvPicPr>
                        <pic:blipFill>
                          <a:blip r:embed="rId19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07 — The GPO Sunset Program</w:t>
              </w:r>
            </w:hyperlink>
            <w:r>
              <w:t xml:space="preserve"> </w:t>
            </w:r>
            <w:r>
              <w:t xml:space="preserve">·</w:t>
            </w:r>
            <w:r>
              <w:t xml:space="preserve"> </w:t>
            </w:r>
            <w:hyperlink r:id="rId202">
              <w:r>
                <w:rPr>
                  <w:rStyle w:val="Hyperlink"/>
                </w:rPr>
                <w:t xml:space="preserve">Book index</w:t>
              </w:r>
            </w:hyperlink>
            <w:r>
              <w:t xml:space="preserve"> </w:t>
            </w:r>
            <w:r>
              <w:t xml:space="preserve">·</w:t>
            </w:r>
            <w:r>
              <w:t xml:space="preserve"> </w:t>
            </w:r>
            <w:hyperlink r:id="rId20">
              <w:r>
                <w:rPr>
                  <w:rStyle w:val="Hyperlink"/>
                </w:rPr>
                <w:t xml:space="preserve">Next: Chapter 09 — Servers Under Azure Arc →</w:t>
              </w:r>
            </w:hyperlink>
          </w:p>
          <w:p/>
        </w:tc>
      </w:tr>
    </w:tbl>
    <w:bookmarkEnd w:id="203"/>
    <w:bookmarkEnd w:id="204"/>
    <w:bookmarkEnd w:id="20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t xml:space="preserve">“App and device properties, operators, and rule editing when creating assignment filters in Microsoft Intune,”</w:t>
      </w:r>
      <w:r>
        <w:t xml:space="preserve"> </w:t>
      </w:r>
      <w:r>
        <w:t xml:space="preserve">note on Windows 10 end of support,</w:t>
      </w:r>
      <w:r>
        <w:t xml:space="preserve"> </w:t>
      </w:r>
      <w:hyperlink r:id="rId15">
        <w:r>
          <w:rPr>
            <w:rStyle w:val="Hyperlink"/>
          </w:rPr>
          <w:t xml:space="preserve">https://learn.microsoft.com/intune/fundamentals/filters/ref-device-properties</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7">
        <w:r>
          <w:rPr>
            <w:rStyle w:val="Hyperlink"/>
          </w:rPr>
          <w:t xml:space="preserve">https://learn.microsoft.com/intune/fundamentals/ref-supported-platforms</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r>
        <w:t xml:space="preserve">sections</w:t>
      </w:r>
      <w:r>
        <w:t xml:space="preserve"> </w:t>
      </w:r>
      <w:r>
        <w:t xml:space="preserve">“Prerequisites”</w:t>
      </w:r>
      <w:r>
        <w:t xml:space="preserve"> </w:t>
      </w:r>
      <w:r>
        <w:t xml:space="preserve">and</w:t>
      </w:r>
      <w:r>
        <w:t xml:space="preserve"> </w:t>
      </w:r>
      <w:r>
        <w:t xml:space="preserve">“Licensing and subscriptions,”</w:t>
      </w:r>
      <w:r>
        <w:t xml:space="preserve"> </w:t>
      </w:r>
      <w:hyperlink r:id="rId19">
        <w:r>
          <w:rPr>
            <w:rStyle w:val="Hyperlink"/>
          </w:rPr>
          <w:t xml:space="preserve">https://learn.microsoft.com/intune/device-security/microsoft-defender/security-settings-management</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27">
        <w:r>
          <w:rPr>
            <w:rStyle w:val="Hyperlink"/>
          </w:rPr>
          <w:t xml:space="preserve">https://learn.microsoft.com/intune/device-configuration/import-group-policy-analytics</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27">
        <w:r>
          <w:rPr>
            <w:rStyle w:val="Hyperlink"/>
          </w:rPr>
          <w:t xml:space="preserve">https://learn.microsoft.com/intune/device-configuration/import-group-policy-analytics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“How to switch Configuration Manager workloads to Intune,”</w:t>
      </w:r>
      <w:r>
        <w:t xml:space="preserve"> </w:t>
      </w:r>
      <w:r>
        <w:t xml:space="preserve">section</w:t>
      </w:r>
      <w:r>
        <w:t xml:space="preserve"> </w:t>
      </w:r>
      <w:r>
        <w:t xml:space="preserve">“Switch workloads,”</w:t>
      </w:r>
      <w:r>
        <w:t xml:space="preserve"> </w:t>
      </w:r>
      <w:hyperlink r:id="rId31">
        <w:r>
          <w:rPr>
            <w:rStyle w:val="Hyperlink"/>
          </w:rPr>
          <w:t xml:space="preserve">https://learn.microsoft.com/intune/configmgr/comanage/how-to-switch-workloads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r>
        <w:t xml:space="preserve">sections</w:t>
      </w:r>
      <w:r>
        <w:t xml:space="preserve"> </w:t>
      </w:r>
      <w:r>
        <w:t xml:space="preserve">“Available actions for noncompliance”</w:t>
      </w:r>
      <w:r>
        <w:t xml:space="preserve"> </w:t>
      </w:r>
      <w:r>
        <w:t xml:space="preserve">and</w:t>
      </w:r>
      <w:r>
        <w:t xml:space="preserve"> </w:t>
      </w:r>
      <w:r>
        <w:t xml:space="preserve">“Add actions for noncompliance,”</w:t>
      </w:r>
      <w:r>
        <w:t xml:space="preserve"> </w:t>
      </w:r>
      <w:hyperlink r:id="rId36">
        <w:r>
          <w:rPr>
            <w:rStyle w:val="Hyperlink"/>
          </w:rPr>
          <w:t xml:space="preserve">https://learn.microsoft.com/intune/device-security/compliance/configure-noncompliance-actions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“Co-management workloads,”</w:t>
      </w:r>
      <w:r>
        <w:t xml:space="preserve"> </w:t>
      </w:r>
      <w:r>
        <w:t xml:space="preserve">section</w:t>
      </w:r>
      <w:r>
        <w:t xml:space="preserve"> </w:t>
      </w:r>
      <w:r>
        <w:t xml:space="preserve">“Device configuration,”</w:t>
      </w:r>
      <w:r>
        <w:t xml:space="preserve"> </w:t>
      </w:r>
      <w:hyperlink r:id="rId40">
        <w:r>
          <w:rPr>
            <w:rStyle w:val="Hyperlink"/>
          </w:rPr>
          <w:t xml:space="preserve">https://learn.microsoft.com/intune/configmgr/comanage/workloads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“How to switch Configuration Manager workloads to Intune,”</w:t>
      </w:r>
      <w:r>
        <w:t xml:space="preserve"> </w:t>
      </w:r>
      <w:r>
        <w:t xml:space="preserve">section</w:t>
      </w:r>
      <w:r>
        <w:t xml:space="preserve"> </w:t>
      </w:r>
      <w:r>
        <w:t xml:space="preserve">“Switch workloads,”</w:t>
      </w:r>
      <w:r>
        <w:t xml:space="preserve"> </w:t>
      </w:r>
      <w:hyperlink r:id="rId31">
        <w:r>
          <w:rPr>
            <w:rStyle w:val="Hyperlink"/>
          </w:rPr>
          <w:t xml:space="preserve">https://learn.microsoft.com/intune/configmgr/comanage/how-to-switch-workloads</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“Co-management workloads,”</w:t>
      </w:r>
      <w:r>
        <w:t xml:space="preserve"> </w:t>
      </w:r>
      <w:r>
        <w:t xml:space="preserve">section</w:t>
      </w:r>
      <w:r>
        <w:t xml:space="preserve"> </w:t>
      </w:r>
      <w:r>
        <w:t xml:space="preserve">“Device configuration,”</w:t>
      </w:r>
      <w:r>
        <w:t xml:space="preserve"> </w:t>
      </w:r>
      <w:hyperlink r:id="rId40">
        <w:r>
          <w:rPr>
            <w:rStyle w:val="Hyperlink"/>
          </w:rPr>
          <w:t xml:space="preserve">https://learn.microsoft.com/intune/configmgr/comanage/workloads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51">
        <w:r>
          <w:rPr>
            <w:rStyle w:val="Hyperlink"/>
          </w:rPr>
          <w:t xml:space="preserve">https://learn.microsoft.com/intune/device-configuration/troubleshoot-device-profiles</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3">
        <w:r>
          <w:rPr>
            <w:rStyle w:val="Hyperlink"/>
          </w:rPr>
          <w:t xml:space="preserve">https://learn.microsoft.com/intune/device-security/endpoint-security-policies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section</w:t>
      </w:r>
      <w:r>
        <w:t xml:space="preserve"> </w:t>
      </w:r>
      <w:r>
        <w:t xml:space="preserve">“Rules for devices,”</w:t>
      </w:r>
      <w:r>
        <w:t xml:space="preserve"> </w:t>
      </w:r>
      <w:hyperlink r:id="rId56">
        <w:r>
          <w:rPr>
            <w:rStyle w:val="Hyperlink"/>
          </w:rPr>
          <w:t xml:space="preserve">https://learn.microsoft.com/entra/identity/users/groups-dynamic-membership</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“App and device properties, operators, and rule editing when creating assignment filters in Microsoft Intune,”</w:t>
      </w:r>
      <w:r>
        <w:t xml:space="preserve"> </w:t>
      </w:r>
      <w:r>
        <w:t xml:space="preserve">section</w:t>
      </w:r>
      <w:r>
        <w:t xml:space="preserve"> </w:t>
      </w:r>
      <w:r>
        <w:t xml:space="preserve">“Managed device properties,”</w:t>
      </w:r>
      <w:r>
        <w:t xml:space="preserve"> </w:t>
      </w:r>
      <w:hyperlink r:id="rId15">
        <w:r>
          <w:rPr>
            <w:rStyle w:val="Hyperlink"/>
          </w:rPr>
          <w:t xml:space="preserve">https://learn.microsoft.com/intune/fundamentals/filters/ref-device-properties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r>
        <w:t xml:space="preserve">sections</w:t>
      </w:r>
      <w:r>
        <w:t xml:space="preserve"> </w:t>
      </w:r>
      <w:r>
        <w:t xml:space="preserve">“Available actions for noncompliance”</w:t>
      </w:r>
      <w:r>
        <w:t xml:space="preserve"> </w:t>
      </w:r>
      <w:r>
        <w:t xml:space="preserve">and</w:t>
      </w:r>
      <w:r>
        <w:t xml:space="preserve"> </w:t>
      </w:r>
      <w:r>
        <w:t xml:space="preserve">“Add actions for noncompliance,”</w:t>
      </w:r>
      <w:r>
        <w:t xml:space="preserve"> </w:t>
      </w:r>
      <w:hyperlink r:id="rId36">
        <w:r>
          <w:rPr>
            <w:rStyle w:val="Hyperlink"/>
          </w:rPr>
          <w:t xml:space="preserve">https://learn.microsoft.com/intune/device-security/compliance/configure-noncompliance-actions</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“Configure actions for noncompliant devices in Intune,”</w:t>
      </w:r>
      <w:r>
        <w:t xml:space="preserve"> </w:t>
      </w:r>
      <w:r>
        <w:t xml:space="preserve">sections</w:t>
      </w:r>
      <w:r>
        <w:t xml:space="preserve"> </w:t>
      </w:r>
      <w:r>
        <w:t xml:space="preserve">“Available actions for noncompliance”</w:t>
      </w:r>
      <w:r>
        <w:t xml:space="preserve"> </w:t>
      </w:r>
      <w:r>
        <w:t xml:space="preserve">and</w:t>
      </w:r>
      <w:r>
        <w:t xml:space="preserve"> </w:t>
      </w:r>
      <w:r>
        <w:t xml:space="preserve">“Add actions for noncompliance,”</w:t>
      </w:r>
      <w:r>
        <w:t xml:space="preserve"> </w:t>
      </w:r>
      <w:hyperlink r:id="rId36">
        <w:r>
          <w:rPr>
            <w:rStyle w:val="Hyperlink"/>
          </w:rPr>
          <w:t xml:space="preserve">https://learn.microsoft.com/intune/device-security/compliance/configure-noncompliance-actions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sections</w:t>
      </w:r>
      <w:r>
        <w:t xml:space="preserve"> </w:t>
      </w:r>
      <w:r>
        <w:t xml:space="preserve">“Device health,”</w:t>
      </w:r>
      <w:r>
        <w:t xml:space="preserve"> </w:t>
      </w:r>
      <w:r>
        <w:t xml:space="preserve">“System security”</w:t>
      </w:r>
      <w:r>
        <w:t xml:space="preserve"> </w:t>
      </w:r>
      <w:r>
        <w:t xml:space="preserve">and</w:t>
      </w:r>
      <w:r>
        <w:t xml:space="preserve"> </w:t>
      </w:r>
      <w:r>
        <w:t xml:space="preserve">“Microsoft Defender for Endpoint,”</w:t>
      </w:r>
      <w:r>
        <w:t xml:space="preserve"> </w:t>
      </w:r>
      <w:hyperlink r:id="rId75">
        <w:r>
          <w:rPr>
            <w:rStyle w:val="Hyperlink"/>
          </w:rPr>
          <w:t xml:space="preserve">https://learn.microsoft.com/intune/device-security/compliance/ref-windows-settings</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“Windows 11 release information,”</w:t>
      </w:r>
      <w:r>
        <w:t xml:space="preserve"> </w:t>
      </w:r>
      <w:r>
        <w:t xml:space="preserve">section</w:t>
      </w:r>
      <w:r>
        <w:t xml:space="preserve"> </w:t>
      </w:r>
      <w:r>
        <w:t xml:space="preserve">“Windows 11 current versions by servicing option,”</w:t>
      </w:r>
      <w:r>
        <w:t xml:space="preserve"> </w:t>
      </w:r>
      <w:hyperlink r:id="rId77">
        <w:r>
          <w:rPr>
            <w:rStyle w:val="Hyperlink"/>
          </w:rPr>
          <w:t xml:space="preserve">https://learn.microsoft.com/windows/release-health/windows11-release-information</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“Device compliance settings for Windows in Intune,”</w:t>
      </w:r>
      <w:r>
        <w:t xml:space="preserve"> </w:t>
      </w:r>
      <w:r>
        <w:t xml:space="preserve">sections</w:t>
      </w:r>
      <w:r>
        <w:t xml:space="preserve"> </w:t>
      </w:r>
      <w:r>
        <w:t xml:space="preserve">“Device health,”</w:t>
      </w:r>
      <w:r>
        <w:t xml:space="preserve"> </w:t>
      </w:r>
      <w:r>
        <w:t xml:space="preserve">“System security”</w:t>
      </w:r>
      <w:r>
        <w:t xml:space="preserve"> </w:t>
      </w:r>
      <w:r>
        <w:t xml:space="preserve">and</w:t>
      </w:r>
      <w:r>
        <w:t xml:space="preserve"> </w:t>
      </w:r>
      <w:r>
        <w:t xml:space="preserve">“Microsoft Defender for Endpoint,”</w:t>
      </w:r>
      <w:r>
        <w:t xml:space="preserve"> </w:t>
      </w:r>
      <w:hyperlink r:id="rId75">
        <w:r>
          <w:rPr>
            <w:rStyle w:val="Hyperlink"/>
          </w:rPr>
          <w:t xml:space="preserve">https://learn.microsoft.com/intune/device-security/compliance/ref-windows-settings</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7">
        <w:r>
          <w:rPr>
            <w:rStyle w:val="Hyperlink"/>
          </w:rPr>
          <w:t xml:space="preserve">https://learn.microsoft.com/intune/fundamentals/ref-supported-platforms</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r>
        <w:t xml:space="preserve">sections</w:t>
      </w:r>
      <w:r>
        <w:t xml:space="preserve"> </w:t>
      </w:r>
      <w:r>
        <w:t xml:space="preserve">“Prerequisites”</w:t>
      </w:r>
      <w:r>
        <w:t xml:space="preserve"> </w:t>
      </w:r>
      <w:r>
        <w:t xml:space="preserve">and</w:t>
      </w:r>
      <w:r>
        <w:t xml:space="preserve"> </w:t>
      </w:r>
      <w:r>
        <w:t xml:space="preserve">“Licensing and subscriptions,”</w:t>
      </w:r>
      <w:r>
        <w:t xml:space="preserve"> </w:t>
      </w:r>
      <w:hyperlink r:id="rId19">
        <w:r>
          <w:rPr>
            <w:rStyle w:val="Hyperlink"/>
          </w:rPr>
          <w:t xml:space="preserve">https://learn.microsoft.com/intune/device-security/microsoft-defender/security-settings-management</w:t>
        </w:r>
      </w:hyperlink>
      <w:r>
        <w:t xml:space="preserve"> </w:t>
      </w:r>
      <w:r>
        <w:t xml:space="preserve">(accessed Oct 20, 2026).</w:t>
      </w:r>
    </w:p>
  </w:footnote>
  <w:footnote w:id="84">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r>
        <w:t xml:space="preserve">sections</w:t>
      </w:r>
      <w:r>
        <w:t xml:space="preserve"> </w:t>
      </w:r>
      <w:r>
        <w:t xml:space="preserve">“Prerequisites”</w:t>
      </w:r>
      <w:r>
        <w:t xml:space="preserve"> </w:t>
      </w:r>
      <w:r>
        <w:t xml:space="preserve">and</w:t>
      </w:r>
      <w:r>
        <w:t xml:space="preserve"> </w:t>
      </w:r>
      <w:r>
        <w:t xml:space="preserve">“Licensing and subscriptions,”</w:t>
      </w:r>
      <w:r>
        <w:t xml:space="preserve"> </w:t>
      </w:r>
      <w:hyperlink r:id="rId19">
        <w:r>
          <w:rPr>
            <w:rStyle w:val="Hyperlink"/>
          </w:rPr>
          <w:t xml:space="preserve">https://learn.microsoft.com/intune/device-security/microsoft-defender/security-settings-management</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3">
        <w:r>
          <w:rPr>
            <w:rStyle w:val="Hyperlink"/>
          </w:rPr>
          <w:t xml:space="preserve">https://learn.microsoft.com/intune/device-security/endpoint-security-policies</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“Policy CSP - DeviceLock,”</w:t>
      </w:r>
      <w:r>
        <w:t xml:space="preserve"> </w:t>
      </w:r>
      <w:r>
        <w:t xml:space="preserve">section</w:t>
      </w:r>
      <w:r>
        <w:t xml:space="preserve"> </w:t>
      </w:r>
      <w:r>
        <w:t xml:space="preserve">“AccountLockoutPolicy,”</w:t>
      </w:r>
      <w:r>
        <w:t xml:space="preserve"> </w:t>
      </w:r>
      <w:hyperlink r:id="rId91">
        <w:r>
          <w:rPr>
            <w:rStyle w:val="Hyperlink"/>
          </w:rPr>
          <w:t xml:space="preserve">https://learn.microsoft.com/windows/client-management/mdm/policy-csp-devicelock</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“Lifecycle FAQ - Internet Explorer and Microsoft Edge,”</w:t>
      </w:r>
      <w:r>
        <w:t xml:space="preserve"> </w:t>
      </w:r>
      <w:hyperlink r:id="rId99">
        <w:r>
          <w:rPr>
            <w:rStyle w:val="Hyperlink"/>
          </w:rPr>
          <w:t xml:space="preserve">https://learn.microsoft.com/lifecycle/faq/internet-explorer-microsoft-edge</w:t>
        </w:r>
      </w:hyperlink>
      <w:r>
        <w:t xml:space="preserve">; and</w:t>
      </w:r>
      <w:r>
        <w:t xml:space="preserve"> </w:t>
      </w:r>
      <w:r>
        <w:t xml:space="preserve">“Essential Eight user application hardening,”</w:t>
      </w:r>
      <w:r>
        <w:t xml:space="preserve"> </w:t>
      </w:r>
      <w:r>
        <w:t xml:space="preserve">section</w:t>
      </w:r>
      <w:r>
        <w:t xml:space="preserve"> </w:t>
      </w:r>
      <w:r>
        <w:t xml:space="preserve">“Internet Explorer 11 is disabled or removed,”</w:t>
      </w:r>
      <w:r>
        <w:t xml:space="preserve"> </w:t>
      </w:r>
      <w:hyperlink r:id="rId100">
        <w:r>
          <w:rPr>
            <w:rStyle w:val="Hyperlink"/>
          </w:rPr>
          <w:t xml:space="preserve">https://learn.microsoft.com/compliance/anz/e8-app-harden</w:t>
        </w:r>
      </w:hyperlink>
      <w:r>
        <w:t xml:space="preserve"> </w:t>
      </w:r>
      <w:r>
        <w:t xml:space="preserve">(both accessed Oct 20, 2026).</w:t>
      </w:r>
    </w:p>
  </w:footnote>
  <w:footnote w:id="105">
    <w:p>
      <w:pPr>
        <w:pStyle w:val="FootnoteText"/>
      </w:pPr>
      <w:r>
        <w:rPr>
          <w:rStyle w:val="FootnoteReference"/>
        </w:rPr>
        <w:footnoteRef/>
      </w:r>
      <w:r>
        <w:t xml:space="preserve"> </w:t>
      </w:r>
      <w:r>
        <w:t xml:space="preserve">Microsoft Learn,</w:t>
      </w:r>
      <w:r>
        <w:t xml:space="preserve"> </w:t>
      </w:r>
      <w:r>
        <w:t xml:space="preserve">“Redirect and move Windows known folders to OneDrive,”</w:t>
      </w:r>
      <w:r>
        <w:t xml:space="preserve"> </w:t>
      </w:r>
      <w:r>
        <w:t xml:space="preserve">sections</w:t>
      </w:r>
      <w:r>
        <w:t xml:space="preserve"> </w:t>
      </w:r>
      <w:r>
        <w:t xml:space="preserve">“About the Known Folder Move policies”</w:t>
      </w:r>
      <w:r>
        <w:t xml:space="preserve"> </w:t>
      </w:r>
      <w:r>
        <w:t xml:space="preserve">and</w:t>
      </w:r>
      <w:r>
        <w:t xml:space="preserve"> </w:t>
      </w:r>
      <w:r>
        <w:t xml:space="preserve">“Transition from the Windows Folder Redirection Group Policy objects,”</w:t>
      </w:r>
      <w:r>
        <w:t xml:space="preserve"> </w:t>
      </w:r>
      <w:hyperlink r:id="rId106">
        <w:r>
          <w:rPr>
            <w:rStyle w:val="Hyperlink"/>
          </w:rPr>
          <w:t xml:space="preserve">https://learn.microsoft.com/sharepoint/redirect-known-folders</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“Update rings policy settings,”</w:t>
      </w:r>
      <w:r>
        <w:t xml:space="preserve"> </w:t>
      </w:r>
      <w:hyperlink r:id="rId109">
        <w:r>
          <w:rPr>
            <w:rStyle w:val="Hyperlink"/>
          </w:rPr>
          <w:t xml:space="preserve">https://learn.microsoft.com/intune/device-updates/windows/ref-update-ring-settings</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“Policy CSP - DeliveryOptimization,”</w:t>
      </w:r>
      <w:r>
        <w:t xml:space="preserve"> </w:t>
      </w:r>
      <w:r>
        <w:t xml:space="preserve">section</w:t>
      </w:r>
      <w:r>
        <w:t xml:space="preserve"> </w:t>
      </w:r>
      <w:r>
        <w:t xml:space="preserve">“DODownloadMode,”</w:t>
      </w:r>
      <w:r>
        <w:t xml:space="preserve"> </w:t>
      </w:r>
      <w:hyperlink r:id="rId111">
        <w:r>
          <w:rPr>
            <w:rStyle w:val="Hyperlink"/>
          </w:rPr>
          <w:t xml:space="preserve">https://learn.microsoft.com/windows/client-management/mdm/policy-csp-deliveryoptimization</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“Update rings policy settings,”</w:t>
      </w:r>
      <w:r>
        <w:t xml:space="preserve"> </w:t>
      </w:r>
      <w:hyperlink r:id="rId109">
        <w:r>
          <w:rPr>
            <w:rStyle w:val="Hyperlink"/>
          </w:rPr>
          <w:t xml:space="preserve">https://learn.microsoft.com/intune/device-updates/windows/ref-update-ring-settings</w:t>
        </w:r>
      </w:hyperlink>
      <w:r>
        <w:t xml:space="preserve"> </w:t>
      </w:r>
      <w:r>
        <w:t xml:space="preserve">(accessed Oct 20, 2026).</w:t>
      </w:r>
    </w:p>
  </w:footnote>
  <w:footnote w:id="115">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7">
        <w:r>
          <w:rPr>
            <w:rStyle w:val="Hyperlink"/>
          </w:rPr>
          <w:t xml:space="preserve">https://learn.microsoft.com/intune/fundamentals/ref-supported-platforms</w:t>
        </w:r>
      </w:hyperlink>
      <w:r>
        <w:t xml:space="preserve"> </w:t>
      </w:r>
      <w:r>
        <w:t xml:space="preserve">(accessed Oct 20, 2026).</w:t>
      </w:r>
    </w:p>
  </w:footnote>
  <w:footnote w:id="118">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53">
        <w:r>
          <w:rPr>
            <w:rStyle w:val="Hyperlink"/>
          </w:rPr>
          <w:t xml:space="preserve">https://learn.microsoft.com/intune/device-security/endpoint-security-policies</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“CloudExtendedTimeout,”</w:t>
      </w:r>
      <w:r>
        <w:t xml:space="preserve"> </w:t>
      </w:r>
      <w:r>
        <w:t xml:space="preserve">“PUAProtection”</w:t>
      </w:r>
      <w:r>
        <w:t xml:space="preserve"> </w:t>
      </w:r>
      <w:r>
        <w:t xml:space="preserve">and</w:t>
      </w:r>
      <w:r>
        <w:t xml:space="preserve"> </w:t>
      </w:r>
      <w:r>
        <w:t xml:space="preserve">“SubmitSamplesConsent,”</w:t>
      </w:r>
      <w:r>
        <w:t xml:space="preserve"> </w:t>
      </w:r>
      <w:hyperlink r:id="rId120">
        <w:r>
          <w:rPr>
            <w:rStyle w:val="Hyperlink"/>
          </w:rPr>
          <w:t xml:space="preserve">https://learn.microsoft.com/windows/client-management/mdm/policy-csp-defender</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“CloudExtendedTimeout,”</w:t>
      </w:r>
      <w:r>
        <w:t xml:space="preserve"> </w:t>
      </w:r>
      <w:r>
        <w:t xml:space="preserve">“PUAProtection”</w:t>
      </w:r>
      <w:r>
        <w:t xml:space="preserve"> </w:t>
      </w:r>
      <w:r>
        <w:t xml:space="preserve">and</w:t>
      </w:r>
      <w:r>
        <w:t xml:space="preserve"> </w:t>
      </w:r>
      <w:r>
        <w:t xml:space="preserve">“SubmitSamplesConsent,”</w:t>
      </w:r>
      <w:r>
        <w:t xml:space="preserve"> </w:t>
      </w:r>
      <w:hyperlink r:id="rId120">
        <w:r>
          <w:rPr>
            <w:rStyle w:val="Hyperlink"/>
          </w:rPr>
          <w:t xml:space="preserve">https://learn.microsoft.com/windows/client-management/mdm/policy-csp-defender</w:t>
        </w:r>
      </w:hyperlink>
      <w:r>
        <w:t xml:space="preserve"> </w:t>
      </w:r>
      <w:r>
        <w:t xml:space="preserve">(accessed Oct 20, 2026).</w:t>
      </w:r>
    </w:p>
  </w:footnote>
  <w:footnote w:id="122">
    <w:p>
      <w:pPr>
        <w:pStyle w:val="FootnoteText"/>
      </w:pPr>
      <w:r>
        <w:rPr>
          <w:rStyle w:val="FootnoteReference"/>
        </w:rPr>
        <w:footnoteRef/>
      </w:r>
      <w:r>
        <w:t xml:space="preserve"> </w:t>
      </w:r>
      <w:r>
        <w:t xml:space="preserve">Microsoft Learn,</w:t>
      </w:r>
      <w:r>
        <w:t xml:space="preserve"> </w:t>
      </w:r>
      <w:r>
        <w:t xml:space="preserve">“Antivirus policy for endpoint security in Microsoft Intune,”</w:t>
      </w:r>
      <w:r>
        <w:t xml:space="preserve"> </w:t>
      </w:r>
      <w:r>
        <w:t xml:space="preserve">section</w:t>
      </w:r>
      <w:r>
        <w:t xml:space="preserve"> </w:t>
      </w:r>
      <w:r>
        <w:t xml:space="preserve">“Prerequisites for antivirus policy,”</w:t>
      </w:r>
      <w:r>
        <w:t xml:space="preserve"> </w:t>
      </w:r>
      <w:hyperlink r:id="rId123">
        <w:r>
          <w:rPr>
            <w:rStyle w:val="Hyperlink"/>
          </w:rPr>
          <w:t xml:space="preserve">https://learn.microsoft.com/intune/device-configuration/endpoint-security/antivirus</w:t>
        </w:r>
      </w:hyperlink>
      <w:r>
        <w:t xml:space="preserve">; and</w:t>
      </w:r>
      <w:r>
        <w:t xml:space="preserve"> </w:t>
      </w:r>
      <w:r>
        <w:t xml:space="preserve">“Tamper protection overview,”</w:t>
      </w:r>
      <w:r>
        <w:t xml:space="preserve"> </w:t>
      </w:r>
      <w:r>
        <w:t xml:space="preserve">section</w:t>
      </w:r>
      <w:r>
        <w:t xml:space="preserve"> </w:t>
      </w:r>
      <w:r>
        <w:t xml:space="preserve">“Requirements for tamper protection,”</w:t>
      </w:r>
      <w:r>
        <w:t xml:space="preserve"> </w:t>
      </w:r>
      <w:hyperlink r:id="rId124">
        <w:r>
          <w:rPr>
            <w:rStyle w:val="Hyperlink"/>
          </w:rPr>
          <w:t xml:space="preserve">https://learn.microsoft.com/defender-endpoint/tamper-protection-overview</w:t>
        </w:r>
      </w:hyperlink>
      <w:r>
        <w:t xml:space="preserve"> </w:t>
      </w:r>
      <w:r>
        <w:t xml:space="preserve">(both accessed Oct 20, 2026).</w:t>
      </w:r>
    </w:p>
  </w:footnote>
  <w:footnote w:id="125">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“CloudExtendedTimeout,”</w:t>
      </w:r>
      <w:r>
        <w:t xml:space="preserve"> </w:t>
      </w:r>
      <w:r>
        <w:t xml:space="preserve">“PUAProtection”</w:t>
      </w:r>
      <w:r>
        <w:t xml:space="preserve"> </w:t>
      </w:r>
      <w:r>
        <w:t xml:space="preserve">and</w:t>
      </w:r>
      <w:r>
        <w:t xml:space="preserve"> </w:t>
      </w:r>
      <w:r>
        <w:t xml:space="preserve">“SubmitSamplesConsent,”</w:t>
      </w:r>
      <w:r>
        <w:t xml:space="preserve"> </w:t>
      </w:r>
      <w:hyperlink r:id="rId120">
        <w:r>
          <w:rPr>
            <w:rStyle w:val="Hyperlink"/>
          </w:rPr>
          <w:t xml:space="preserve">https://learn.microsoft.com/windows/client-management/mdm/policy-csp-defender</w:t>
        </w:r>
      </w:hyperlink>
      <w:r>
        <w:t xml:space="preserve"> </w:t>
      </w:r>
      <w:r>
        <w:t xml:space="preserve">(accessed Oct 20, 2026).</w:t>
      </w:r>
    </w:p>
  </w:footnote>
  <w:footnote w:id="126">
    <w:p>
      <w:pPr>
        <w:pStyle w:val="FootnoteText"/>
      </w:pPr>
      <w:r>
        <w:rPr>
          <w:rStyle w:val="FootnoteReference"/>
        </w:rPr>
        <w:footnoteRef/>
      </w:r>
      <w:r>
        <w:t xml:space="preserve"> </w:t>
      </w:r>
      <w:r>
        <w:t xml:space="preserve">Microsoft Learn,</w:t>
      </w:r>
      <w:r>
        <w:t xml:space="preserve"> </w:t>
      </w:r>
      <w:r>
        <w:t xml:space="preserve">“Antivirus policy for endpoint security in Microsoft Intune,”</w:t>
      </w:r>
      <w:r>
        <w:t xml:space="preserve"> </w:t>
      </w:r>
      <w:r>
        <w:t xml:space="preserve">section</w:t>
      </w:r>
      <w:r>
        <w:t xml:space="preserve"> </w:t>
      </w:r>
      <w:r>
        <w:t xml:space="preserve">“Prerequisites for antivirus policy,”</w:t>
      </w:r>
      <w:r>
        <w:t xml:space="preserve"> </w:t>
      </w:r>
      <w:hyperlink r:id="rId123">
        <w:r>
          <w:rPr>
            <w:rStyle w:val="Hyperlink"/>
          </w:rPr>
          <w:t xml:space="preserve">https://learn.microsoft.com/intune/device-configuration/endpoint-security/antivirus</w:t>
        </w:r>
      </w:hyperlink>
      <w:r>
        <w:t xml:space="preserve">; and</w:t>
      </w:r>
      <w:r>
        <w:t xml:space="preserve"> </w:t>
      </w:r>
      <w:r>
        <w:t xml:space="preserve">“Tamper protection overview,”</w:t>
      </w:r>
      <w:r>
        <w:t xml:space="preserve"> </w:t>
      </w:r>
      <w:r>
        <w:t xml:space="preserve">section</w:t>
      </w:r>
      <w:r>
        <w:t xml:space="preserve"> </w:t>
      </w:r>
      <w:r>
        <w:t xml:space="preserve">“Requirements for tamper protection,”</w:t>
      </w:r>
      <w:r>
        <w:t xml:space="preserve"> </w:t>
      </w:r>
      <w:hyperlink r:id="rId124">
        <w:r>
          <w:rPr>
            <w:rStyle w:val="Hyperlink"/>
          </w:rPr>
          <w:t xml:space="preserve">https://learn.microsoft.com/defender-endpoint/tamper-protection-overview</w:t>
        </w:r>
      </w:hyperlink>
      <w:r>
        <w:t xml:space="preserve"> </w:t>
      </w:r>
      <w:r>
        <w:t xml:space="preserve">(both accessed Oct 20, 2026).</w:t>
      </w:r>
    </w:p>
  </w:footnote>
  <w:footnote w:id="131">
    <w:p>
      <w:pPr>
        <w:pStyle w:val="FootnoteText"/>
      </w:pPr>
      <w:r>
        <w:rPr>
          <w:rStyle w:val="FootnoteReference"/>
        </w:rPr>
        <w:footnoteRef/>
      </w:r>
      <w:r>
        <w:t xml:space="preserve"> </w:t>
      </w:r>
      <w:r>
        <w:t xml:space="preserve">Microsoft Learn,</w:t>
      </w:r>
      <w:r>
        <w:t xml:space="preserve"> </w:t>
      </w:r>
      <w:r>
        <w:t xml:space="preserve">“Encrypt Windows devices with BitLocker using Intune,”</w:t>
      </w:r>
      <w:r>
        <w:t xml:space="preserve"> </w:t>
      </w:r>
      <w:r>
        <w:t xml:space="preserve">sections</w:t>
      </w:r>
      <w:r>
        <w:t xml:space="preserve"> </w:t>
      </w:r>
      <w:r>
        <w:t xml:space="preserve">“Configure silent BitLocker encryption”</w:t>
      </w:r>
      <w:r>
        <w:t xml:space="preserve"> </w:t>
      </w:r>
      <w:r>
        <w:t xml:space="preserve">and</w:t>
      </w:r>
      <w:r>
        <w:t xml:space="preserve"> </w:t>
      </w:r>
      <w:r>
        <w:t xml:space="preserve">“Troubleshooting,”</w:t>
      </w:r>
      <w:r>
        <w:t xml:space="preserve"> </w:t>
      </w:r>
      <w:hyperlink r:id="rId132">
        <w:r>
          <w:rPr>
            <w:rStyle w:val="Hyperlink"/>
          </w:rPr>
          <w:t xml:space="preserve">https://learn.microsoft.com/intune/device-configuration/endpoint-security/encrypt-bitlocker-windows</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“Encrypt Windows devices with BitLocker using Intune,”</w:t>
      </w:r>
      <w:r>
        <w:t xml:space="preserve"> </w:t>
      </w:r>
      <w:r>
        <w:t xml:space="preserve">sections</w:t>
      </w:r>
      <w:r>
        <w:t xml:space="preserve"> </w:t>
      </w:r>
      <w:r>
        <w:t xml:space="preserve">“Configure silent BitLocker encryption”</w:t>
      </w:r>
      <w:r>
        <w:t xml:space="preserve"> </w:t>
      </w:r>
      <w:r>
        <w:t xml:space="preserve">and</w:t>
      </w:r>
      <w:r>
        <w:t xml:space="preserve"> </w:t>
      </w:r>
      <w:r>
        <w:t xml:space="preserve">“Troubleshooting,”</w:t>
      </w:r>
      <w:r>
        <w:t xml:space="preserve"> </w:t>
      </w:r>
      <w:hyperlink r:id="rId132">
        <w:r>
          <w:rPr>
            <w:rStyle w:val="Hyperlink"/>
          </w:rPr>
          <w:t xml:space="preserve">https://learn.microsoft.com/intune/device-configuration/endpoint-security/encrypt-bitlocker-windows</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hyperlink r:id="rId136">
        <w:r>
          <w:rPr>
            <w:rStyle w:val="Hyperlink"/>
          </w:rPr>
          <w:t xml:space="preserve">https://learn.microsoft.com/intune/device-configuration/migrate-group-policy</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“Configure Microsoft Defender for Endpoint with Intune and onboard devices,”</w:t>
      </w:r>
      <w:r>
        <w:t xml:space="preserve"> </w:t>
      </w:r>
      <w:r>
        <w:t xml:space="preserve">section</w:t>
      </w:r>
      <w:r>
        <w:t xml:space="preserve"> </w:t>
      </w:r>
      <w:r>
        <w:t xml:space="preserve">“Onboard devices,”</w:t>
      </w:r>
      <w:r>
        <w:t xml:space="preserve"> </w:t>
      </w:r>
      <w:hyperlink r:id="rId139">
        <w:r>
          <w:rPr>
            <w:rStyle w:val="Hyperlink"/>
          </w:rPr>
          <w:t xml:space="preserve">https://learn.microsoft.com/intune/device-security/microsoft-defender/configure-integration</w:t>
        </w:r>
      </w:hyperlink>
      <w:r>
        <w:t xml:space="preserve"> </w:t>
      </w:r>
      <w:r>
        <w:t xml:space="preserve">(accessed Oct 20, 2026).</w:t>
      </w:r>
    </w:p>
  </w:footnote>
  <w:footnote w:id="142">
    <w:p>
      <w:pPr>
        <w:pStyle w:val="FootnoteText"/>
      </w:pPr>
      <w:r>
        <w:rPr>
          <w:rStyle w:val="FootnoteReference"/>
        </w:rPr>
        <w:footnoteRef/>
      </w:r>
      <w:r>
        <w:t xml:space="preserve"> </w:t>
      </w:r>
      <w:r>
        <w:t xml:space="preserve">Microsoft Learn,</w:t>
      </w:r>
      <w:r>
        <w:t xml:space="preserve"> </w:t>
      </w:r>
      <w:r>
        <w:t xml:space="preserve">“Attack surface reduction (ASR) rules reference,”</w:t>
      </w:r>
      <w:r>
        <w:t xml:space="preserve"> </w:t>
      </w:r>
      <w:hyperlink r:id="rId143">
        <w:r>
          <w:rPr>
            <w:rStyle w:val="Hyperlink"/>
          </w:rPr>
          <w:t xml:space="preserve">https://learn.microsoft.com/defender-endpoint/attack-surface-reduction-rules-reference</w:t>
        </w:r>
      </w:hyperlink>
      <w:r>
        <w:t xml:space="preserve"> </w:t>
      </w:r>
      <w:r>
        <w:t xml:space="preserve">(accessed Oct 20, 2026).</w:t>
      </w:r>
    </w:p>
  </w:footnote>
  <w:footnote w:id="144">
    <w:p>
      <w:pPr>
        <w:pStyle w:val="FootnoteText"/>
      </w:pPr>
      <w:r>
        <w:rPr>
          <w:rStyle w:val="FootnoteReference"/>
        </w:rPr>
        <w:footnoteRef/>
      </w:r>
      <w:r>
        <w:t xml:space="preserve"> </w:t>
      </w:r>
      <w:r>
        <w:t xml:space="preserve">Microsoft Learn,</w:t>
      </w:r>
      <w:r>
        <w:t xml:space="preserve"> </w:t>
      </w:r>
      <w:r>
        <w:t xml:space="preserve">“Attack surface reduction (ASR) rules reference,”</w:t>
      </w:r>
      <w:r>
        <w:t xml:space="preserve"> </w:t>
      </w:r>
      <w:hyperlink r:id="rId143">
        <w:r>
          <w:rPr>
            <w:rStyle w:val="Hyperlink"/>
          </w:rPr>
          <w:t xml:space="preserve">https://learn.microsoft.com/defender-endpoint/attack-surface-reduction-rules-reference</w:t>
        </w:r>
      </w:hyperlink>
      <w:r>
        <w:t xml:space="preserve"> </w:t>
      </w:r>
      <w:r>
        <w:t xml:space="preserve">(accessed Oct 20, 2026).</w:t>
      </w:r>
    </w:p>
  </w:footnote>
  <w:footnote w:id="146">
    <w:p>
      <w:pPr>
        <w:pStyle w:val="FootnoteText"/>
      </w:pPr>
      <w:r>
        <w:rPr>
          <w:rStyle w:val="FootnoteReference"/>
        </w:rPr>
        <w:footnoteRef/>
      </w:r>
      <w:r>
        <w:t xml:space="preserve"> </w:t>
      </w:r>
      <w:r>
        <w:t xml:space="preserve">Microsoft Learn,</w:t>
      </w:r>
      <w:r>
        <w:t xml:space="preserve"> </w:t>
      </w:r>
      <w:r>
        <w:t xml:space="preserve">“Windows Commercial Licensing overview,”</w:t>
      </w:r>
      <w:r>
        <w:t xml:space="preserve"> </w:t>
      </w:r>
      <w:r>
        <w:t xml:space="preserve">section</w:t>
      </w:r>
      <w:r>
        <w:t xml:space="preserve"> </w:t>
      </w:r>
      <w:r>
        <w:t xml:space="preserve">“Use a Windows Pro device with the Windows Enterprise user subscription license,”</w:t>
      </w:r>
      <w:r>
        <w:t xml:space="preserve"> </w:t>
      </w:r>
      <w:hyperlink r:id="rId147">
        <w:r>
          <w:rPr>
            <w:rStyle w:val="Hyperlink"/>
          </w:rPr>
          <w:t xml:space="preserve">https://learn.microsoft.com/windows/whats-new/windows-licensing</w:t>
        </w:r>
      </w:hyperlink>
      <w:r>
        <w:t xml:space="preserve"> </w:t>
      </w:r>
      <w:r>
        <w:t xml:space="preserve">(accessed Oct 20, 2026).</w:t>
      </w:r>
    </w:p>
  </w:footnote>
  <w:footnote w:id="148">
    <w:p>
      <w:pPr>
        <w:pStyle w:val="FootnoteText"/>
      </w:pPr>
      <w:r>
        <w:rPr>
          <w:rStyle w:val="FootnoteReference"/>
        </w:rPr>
        <w:footnoteRef/>
      </w:r>
      <w:r>
        <w:t xml:space="preserve"> </w:t>
      </w:r>
      <w:r>
        <w:t xml:space="preserve">Microsoft Learn,</w:t>
      </w:r>
      <w:r>
        <w:t xml:space="preserve"> </w:t>
      </w:r>
      <w:r>
        <w:t xml:space="preserve">“Credential Guard overview,”</w:t>
      </w:r>
      <w:r>
        <w:t xml:space="preserve"> </w:t>
      </w:r>
      <w:r>
        <w:t xml:space="preserve">section</w:t>
      </w:r>
      <w:r>
        <w:t xml:space="preserve"> </w:t>
      </w:r>
      <w:r>
        <w:t xml:space="preserve">“Default enablement,”</w:t>
      </w:r>
      <w:r>
        <w:t xml:space="preserve"> </w:t>
      </w:r>
      <w:hyperlink r:id="rId149">
        <w:r>
          <w:rPr>
            <w:rStyle w:val="Hyperlink"/>
          </w:rPr>
          <w:t xml:space="preserve">https://learn.microsoft.com/windows/security/identity-protection/credential-guard/</w:t>
        </w:r>
      </w:hyperlink>
      <w:r>
        <w:t xml:space="preserve"> </w:t>
      </w:r>
      <w:r>
        <w:t xml:space="preserve">(accessed Oct 20, 2026).</w:t>
      </w:r>
    </w:p>
  </w:footnote>
  <w:footnote w:id="150">
    <w:p>
      <w:pPr>
        <w:pStyle w:val="FootnoteText"/>
      </w:pPr>
      <w:r>
        <w:rPr>
          <w:rStyle w:val="FootnoteReference"/>
        </w:rPr>
        <w:footnoteRef/>
      </w:r>
      <w:r>
        <w:t xml:space="preserve"> </w:t>
      </w:r>
      <w:r>
        <w:t xml:space="preserve">Microsoft Learn,</w:t>
      </w:r>
      <w:r>
        <w:t xml:space="preserve"> </w:t>
      </w:r>
      <w:r>
        <w:t xml:space="preserve">“Configure policy settings for Windows LAPS,”</w:t>
      </w:r>
      <w:r>
        <w:t xml:space="preserve"> </w:t>
      </w:r>
      <w:r>
        <w:t xml:space="preserve">sections</w:t>
      </w:r>
      <w:r>
        <w:t xml:space="preserve"> </w:t>
      </w:r>
      <w:r>
        <w:t xml:space="preserve">“PostAuthenticationResetDelay”</w:t>
      </w:r>
      <w:r>
        <w:t xml:space="preserve"> </w:t>
      </w:r>
      <w:r>
        <w:t xml:space="preserve">and</w:t>
      </w:r>
      <w:r>
        <w:t xml:space="preserve"> </w:t>
      </w:r>
      <w:r>
        <w:t xml:space="preserve">“PostAuthenticationActions,”</w:t>
      </w:r>
      <w:r>
        <w:t xml:space="preserve"> </w:t>
      </w:r>
      <w:hyperlink r:id="rId151">
        <w:r>
          <w:rPr>
            <w:rStyle w:val="Hyperlink"/>
          </w:rPr>
          <w:t xml:space="preserve">https://learn.microsoft.com/windows-server/identity/laps/laps-management-policy-settings</w:t>
        </w:r>
      </w:hyperlink>
      <w:r>
        <w:t xml:space="preserve"> </w:t>
      </w:r>
      <w:r>
        <w:t xml:space="preserve">(accessed Oct 20, 2026).</w:t>
      </w:r>
    </w:p>
  </w:footnote>
  <w:footnote w:id="152">
    <w:p>
      <w:pPr>
        <w:pStyle w:val="FootnoteText"/>
      </w:pPr>
      <w:r>
        <w:rPr>
          <w:rStyle w:val="FootnoteReference"/>
        </w:rPr>
        <w:footnoteRef/>
      </w:r>
      <w:r>
        <w:t xml:space="preserve"> </w:t>
      </w:r>
      <w:r>
        <w:t xml:space="preserve">Microsoft Learn,</w:t>
      </w:r>
      <w:r>
        <w:t xml:space="preserve"> </w:t>
      </w:r>
      <w:r>
        <w:t xml:space="preserve">“Microsoft Intune support for Windows LAPS,”</w:t>
      </w:r>
      <w:r>
        <w:t xml:space="preserve"> </w:t>
      </w:r>
      <w:hyperlink r:id="rId153">
        <w:r>
          <w:rPr>
            <w:rStyle w:val="Hyperlink"/>
          </w:rPr>
          <w:t xml:space="preserve">https://learn.microsoft.com/intune/device-security/laps/overview</w:t>
        </w:r>
      </w:hyperlink>
      <w:r>
        <w:t xml:space="preserve"> </w:t>
      </w:r>
      <w:r>
        <w:t xml:space="preserve">(accessed Oct 20, 2026).</w:t>
      </w:r>
    </w:p>
  </w:footnote>
  <w:footnote w:id="157">
    <w:p>
      <w:pPr>
        <w:pStyle w:val="FootnoteText"/>
      </w:pPr>
      <w:r>
        <w:rPr>
          <w:rStyle w:val="FootnoteReference"/>
        </w:rPr>
        <w:footnoteRef/>
      </w:r>
      <w:r>
        <w:t xml:space="preserve"> </w:t>
      </w:r>
      <w:r>
        <w:t xml:space="preserve">Microsoft Learn,</w:t>
      </w:r>
      <w:r>
        <w:t xml:space="preserve"> </w:t>
      </w:r>
      <w:r>
        <w:t xml:space="preserve">“App protection policy settings for Windows,”</w:t>
      </w:r>
      <w:r>
        <w:t xml:space="preserve"> </w:t>
      </w:r>
      <w:hyperlink r:id="rId158">
        <w:r>
          <w:rPr>
            <w:rStyle w:val="Hyperlink"/>
          </w:rPr>
          <w:t xml:space="preserve">https://learn.microsoft.com/intune/app-management/protection/ref-settings-windows</w:t>
        </w:r>
      </w:hyperlink>
      <w:r>
        <w:t xml:space="preserve"> </w:t>
      </w:r>
      <w:r>
        <w:t xml:space="preserve">(accessed Oct 20, 2026).</w:t>
      </w:r>
    </w:p>
  </w:footnote>
  <w:footnote w:id="164">
    <w:p>
      <w:pPr>
        <w:pStyle w:val="FootnoteText"/>
      </w:pPr>
      <w:r>
        <w:rPr>
          <w:rStyle w:val="FootnoteReference"/>
        </w:rPr>
        <w:footnoteRef/>
      </w:r>
      <w:r>
        <w:t xml:space="preserve"> </w:t>
      </w:r>
      <w:r>
        <w:t xml:space="preserve">Microsoft Learn,</w:t>
      </w:r>
      <w:r>
        <w:t xml:space="preserve"> </w:t>
      </w:r>
      <w:r>
        <w:t xml:space="preserve">“Policy CSP - DeviceLock,”</w:t>
      </w:r>
      <w:r>
        <w:t xml:space="preserve"> </w:t>
      </w:r>
      <w:r>
        <w:t xml:space="preserve">section</w:t>
      </w:r>
      <w:r>
        <w:t xml:space="preserve"> </w:t>
      </w:r>
      <w:r>
        <w:t xml:space="preserve">“AccountLockoutPolicy,”</w:t>
      </w:r>
      <w:r>
        <w:t xml:space="preserve"> </w:t>
      </w:r>
      <w:hyperlink r:id="rId91">
        <w:r>
          <w:rPr>
            <w:rStyle w:val="Hyperlink"/>
          </w:rPr>
          <w:t xml:space="preserve">https://learn.microsoft.com/windows/client-management/mdm/policy-csp-devicelock</w:t>
        </w:r>
      </w:hyperlink>
      <w:r>
        <w:t xml:space="preserve"> </w:t>
      </w:r>
      <w:r>
        <w:t xml:space="preserve">(accessed Oct 20, 2026).</w:t>
      </w:r>
    </w:p>
  </w:footnote>
  <w:footnote w:id="165">
    <w:p>
      <w:pPr>
        <w:pStyle w:val="FootnoteText"/>
      </w:pPr>
      <w:r>
        <w:rPr>
          <w:rStyle w:val="FootnoteReference"/>
        </w:rPr>
        <w:footnoteRef/>
      </w:r>
      <w:r>
        <w:t xml:space="preserve"> </w:t>
      </w:r>
      <w:r>
        <w:t xml:space="preserve">Microsoft Learn,</w:t>
      </w:r>
      <w:r>
        <w:t xml:space="preserve"> </w:t>
      </w:r>
      <w:r>
        <w:t xml:space="preserve">“Policy CSP - Audit,”</w:t>
      </w:r>
      <w:r>
        <w:t xml:space="preserve"> </w:t>
      </w:r>
      <w:hyperlink r:id="rId166">
        <w:r>
          <w:rPr>
            <w:rStyle w:val="Hyperlink"/>
          </w:rPr>
          <w:t xml:space="preserve">https://learn.microsoft.com/windows/client-management/mdm/policy-csp-audit</w:t>
        </w:r>
      </w:hyperlink>
      <w:r>
        <w:t xml:space="preserve"> </w:t>
      </w:r>
      <w:r>
        <w:t xml:space="preserve">(accessed Oct 20, 2026).</w:t>
      </w:r>
    </w:p>
  </w:footnote>
  <w:footnote w:id="167">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51">
        <w:r>
          <w:rPr>
            <w:rStyle w:val="Hyperlink"/>
          </w:rPr>
          <w:t xml:space="preserve">https://learn.microsoft.com/intune/device-configuration/troubleshoot-device-profiles</w:t>
        </w:r>
      </w:hyperlink>
      <w:r>
        <w:t xml:space="preserve"> </w:t>
      </w:r>
      <w:r>
        <w:t xml:space="preserve">(accessed Oct 20, 2026).</w:t>
      </w:r>
    </w:p>
  </w:footnote>
  <w:footnote w:id="171">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section</w:t>
      </w:r>
      <w:r>
        <w:t xml:space="preserve"> </w:t>
      </w:r>
      <w:r>
        <w:t xml:space="preserve">“Microsoft Graph and Graph Explorer service root endpoints,”</w:t>
      </w:r>
      <w:r>
        <w:t xml:space="preserve"> </w:t>
      </w:r>
      <w:hyperlink r:id="rId172">
        <w:r>
          <w:rPr>
            <w:rStyle w:val="Hyperlink"/>
          </w:rPr>
          <w:t xml:space="preserve">https://learn.microsoft.com/graph/deployments</w:t>
        </w:r>
      </w:hyperlink>
      <w:r>
        <w:t xml:space="preserve"> </w:t>
      </w:r>
      <w:r>
        <w:t xml:space="preserve">(accessed Oct 20, 2026).</w:t>
      </w:r>
    </w:p>
  </w:footnote>
  <w:footnote w:id="173">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r>
        <w:t xml:space="preserve">section</w:t>
      </w:r>
      <w:r>
        <w:t xml:space="preserve"> </w:t>
      </w:r>
      <w:r>
        <w:t xml:space="preserve">“Intune commercial and government instances,”</w:t>
      </w:r>
      <w:r>
        <w:t xml:space="preserve"> </w:t>
      </w:r>
      <w:hyperlink r:id="rId174">
        <w:r>
          <w:rPr>
            <w:rStyle w:val="Hyperlink"/>
          </w:rPr>
          <w:t xml:space="preserve">https://learn.microsoft.com/intune/fundamentals/government-service</w:t>
        </w:r>
      </w:hyperlink>
      <w:r>
        <w:t xml:space="preserve"> </w:t>
      </w:r>
      <w:r>
        <w:t xml:space="preserve">(accessed Oct 20, 2026).</w:t>
      </w:r>
    </w:p>
  </w:footnote>
  <w:footnote w:id="179">
    <w:p>
      <w:pPr>
        <w:pStyle w:val="FootnoteText"/>
      </w:pPr>
      <w:r>
        <w:rPr>
          <w:rStyle w:val="FootnoteReference"/>
        </w:rPr>
        <w:footnoteRef/>
      </w:r>
      <w:r>
        <w:t xml:space="preserve"> </w:t>
      </w:r>
      <w:r>
        <w:t xml:space="preserve">Microsoft Learn,</w:t>
      </w:r>
      <w:r>
        <w:t xml:space="preserve"> </w:t>
      </w:r>
      <w:r>
        <w:t xml:space="preserve">“App and device properties, operators, and rule editing when creating assignment filters in Microsoft Intune,”</w:t>
      </w:r>
      <w:r>
        <w:t xml:space="preserve"> </w:t>
      </w:r>
      <w:r>
        <w:t xml:space="preserve">section</w:t>
      </w:r>
      <w:r>
        <w:t xml:space="preserve"> </w:t>
      </w:r>
      <w:r>
        <w:t xml:space="preserve">“Managed device properties,”</w:t>
      </w:r>
      <w:r>
        <w:t xml:space="preserve"> </w:t>
      </w:r>
      <w:hyperlink r:id="rId15">
        <w:r>
          <w:rPr>
            <w:rStyle w:val="Hyperlink"/>
          </w:rPr>
          <w:t xml:space="preserve">https://learn.microsoft.com/intune/fundamentals/filters/ref-device-properties</w:t>
        </w:r>
      </w:hyperlink>
      <w:r>
        <w:t xml:space="preserve"> </w:t>
      </w:r>
      <w:r>
        <w:t xml:space="preserve">(accessed Oct 20, 2026).</w:t>
      </w:r>
    </w:p>
  </w:footnote>
  <w:footnote w:id="180">
    <w:p>
      <w:pPr>
        <w:pStyle w:val="FootnoteText"/>
      </w:pPr>
      <w:r>
        <w:rPr>
          <w:rStyle w:val="FootnoteReference"/>
        </w:rPr>
        <w:footnoteRef/>
      </w:r>
      <w:r>
        <w:t xml:space="preserve"> </w:t>
      </w:r>
      <w:r>
        <w:t xml:space="preserve">Microsoft Learn,</w:t>
      </w:r>
      <w:r>
        <w:t xml:space="preserve"> </w:t>
      </w:r>
      <w:r>
        <w:t xml:space="preserve">“App and device properties, operators, and rule editing when creating assignment filters in Microsoft Intune,”</w:t>
      </w:r>
      <w:r>
        <w:t xml:space="preserve"> </w:t>
      </w:r>
      <w:r>
        <w:t xml:space="preserve">section</w:t>
      </w:r>
      <w:r>
        <w:t xml:space="preserve"> </w:t>
      </w:r>
      <w:r>
        <w:t xml:space="preserve">“Managed device properties,”</w:t>
      </w:r>
      <w:r>
        <w:t xml:space="preserve"> </w:t>
      </w:r>
      <w:hyperlink r:id="rId15">
        <w:r>
          <w:rPr>
            <w:rStyle w:val="Hyperlink"/>
          </w:rPr>
          <w:t xml:space="preserve">https://learn.microsoft.com/intune/fundamentals/filters/ref-device-properties</w:t>
        </w:r>
      </w:hyperlink>
      <w:r>
        <w:t xml:space="preserve"> </w:t>
      </w:r>
      <w:r>
        <w:t xml:space="preserve">(accessed Oct 20, 2026).</w:t>
      </w:r>
    </w:p>
  </w:footnote>
  <w:footnote w:id="181">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section</w:t>
      </w:r>
      <w:r>
        <w:t xml:space="preserve"> </w:t>
      </w:r>
      <w:r>
        <w:t xml:space="preserve">“Rules for devices,”</w:t>
      </w:r>
      <w:r>
        <w:t xml:space="preserve"> </w:t>
      </w:r>
      <w:hyperlink r:id="rId56">
        <w:r>
          <w:rPr>
            <w:rStyle w:val="Hyperlink"/>
          </w:rPr>
          <w:t xml:space="preserve">https://learn.microsoft.com/entra/identity/users/groups-dynamic-membership</w:t>
        </w:r>
      </w:hyperlink>
      <w:r>
        <w:t xml:space="preserve"> </w:t>
      </w:r>
      <w:r>
        <w:t xml:space="preserve">(accessed Oct 20, 2026).</w:t>
      </w:r>
    </w:p>
  </w:footnote>
  <w:footnote w:id="184">
    <w:p>
      <w:pPr>
        <w:pStyle w:val="FootnoteText"/>
      </w:pPr>
      <w:r>
        <w:rPr>
          <w:rStyle w:val="FootnoteReference"/>
        </w:rPr>
        <w:footnoteRef/>
      </w:r>
      <w:r>
        <w:t xml:space="preserve"> </w:t>
      </w:r>
      <w:r>
        <w:t xml:space="preserve">Microsoft Learn,</w:t>
      </w:r>
      <w:r>
        <w:t xml:space="preserve"> </w:t>
      </w:r>
      <w:r>
        <w:t xml:space="preserve">“windows10CompliancePolicy resource type”</w:t>
      </w:r>
      <w:r>
        <w:t xml:space="preserve"> </w:t>
      </w:r>
      <w:r>
        <w:t xml:space="preserve">(Microsoft Graph v1.0),</w:t>
      </w:r>
      <w:r>
        <w:t xml:space="preserve"> </w:t>
      </w:r>
      <w:hyperlink r:id="rId185">
        <w:r>
          <w:rPr>
            <w:rStyle w:val="Hyperlink"/>
          </w:rPr>
          <w:t xml:space="preserve">https://learn.microsoft.com/graph/api/resources/intune-deviceconfig-windows10compliancepolicy?view=graph-rest-1.0</w:t>
        </w:r>
      </w:hyperlink>
      <w:r>
        <w:t xml:space="preserve"> </w:t>
      </w:r>
      <w:r>
        <w:t xml:space="preserve">(accessed Oct 20, 2026).</w:t>
      </w:r>
    </w:p>
  </w:footnote>
  <w:footnote w:id="186">
    <w:p>
      <w:pPr>
        <w:pStyle w:val="FootnoteText"/>
      </w:pPr>
      <w:r>
        <w:rPr>
          <w:rStyle w:val="FootnoteReference"/>
        </w:rPr>
        <w:footnoteRef/>
      </w:r>
      <w:r>
        <w:t xml:space="preserve"> </w:t>
      </w:r>
      <w:r>
        <w:t xml:space="preserve">Microsoft Learn,</w:t>
      </w:r>
      <w:r>
        <w:t xml:space="preserve"> </w:t>
      </w:r>
      <w:r>
        <w:t xml:space="preserve">“windows10CompliancePolicy resource type”</w:t>
      </w:r>
      <w:r>
        <w:t xml:space="preserve"> </w:t>
      </w:r>
      <w:r>
        <w:t xml:space="preserve">(Microsoft Graph beta),</w:t>
      </w:r>
      <w:r>
        <w:t xml:space="preserve"> </w:t>
      </w:r>
      <w:hyperlink r:id="rId187">
        <w:r>
          <w:rPr>
            <w:rStyle w:val="Hyperlink"/>
          </w:rPr>
          <w:t xml:space="preserve">https://learn.microsoft.com/graph/api/resources/intune-deviceconfig-windows10compliancepolicy?view=graph-rest-beta</w:t>
        </w:r>
      </w:hyperlink>
      <w:r>
        <w:t xml:space="preserve"> </w:t>
      </w:r>
      <w:r>
        <w:t xml:space="preserve">(accessed Oct 20, 2026).</w:t>
      </w:r>
    </w:p>
  </w:footnote>
  <w:footnote w:id="188">
    <w:p>
      <w:pPr>
        <w:pStyle w:val="FootnoteText"/>
      </w:pPr>
      <w:r>
        <w:rPr>
          <w:rStyle w:val="FootnoteReference"/>
        </w:rPr>
        <w:footnoteRef/>
      </w:r>
      <w:r>
        <w:t xml:space="preserve"> </w:t>
      </w:r>
      <w:r>
        <w:t xml:space="preserve">Microsoft Learn,</w:t>
      </w:r>
      <w:r>
        <w:t xml:space="preserve"> </w:t>
      </w:r>
      <w:r>
        <w:t xml:space="preserve">“windows10CompliancePolicy resource type”</w:t>
      </w:r>
      <w:r>
        <w:t xml:space="preserve"> </w:t>
      </w:r>
      <w:r>
        <w:t xml:space="preserve">(Microsoft Graph v1.0),</w:t>
      </w:r>
      <w:r>
        <w:t xml:space="preserve"> </w:t>
      </w:r>
      <w:hyperlink r:id="rId185">
        <w:r>
          <w:rPr>
            <w:rStyle w:val="Hyperlink"/>
          </w:rPr>
          <w:t xml:space="preserve">https://learn.microsoft.com/graph/api/resources/intune-deviceconfig-windows10compliancepolicy?view=graph-rest-1.0</w:t>
        </w:r>
      </w:hyperlink>
      <w:r>
        <w:t xml:space="preserve"> </w:t>
      </w:r>
      <w:r>
        <w:t xml:space="preserve">(accessed Oct 20, 2026).</w:t>
      </w:r>
    </w:p>
  </w:footnote>
  <w:footnote w:id="189">
    <w:p>
      <w:pPr>
        <w:pStyle w:val="FootnoteText"/>
      </w:pPr>
      <w:r>
        <w:rPr>
          <w:rStyle w:val="FootnoteReference"/>
        </w:rPr>
        <w:footnoteRef/>
      </w:r>
      <w:r>
        <w:t xml:space="preserve"> </w:t>
      </w:r>
      <w:r>
        <w:t xml:space="preserve">Microsoft Learn,</w:t>
      </w:r>
      <w:r>
        <w:t xml:space="preserve"> </w:t>
      </w:r>
      <w:r>
        <w:t xml:space="preserve">“deviceComplianceActionItem resource type”</w:t>
      </w:r>
      <w:r>
        <w:t xml:space="preserve"> </w:t>
      </w:r>
      <w:r>
        <w:t xml:space="preserve">(Microsoft Graph v1.0),</w:t>
      </w:r>
      <w:r>
        <w:t xml:space="preserve"> </w:t>
      </w:r>
      <w:hyperlink r:id="rId190">
        <w:r>
          <w:rPr>
            <w:rStyle w:val="Hyperlink"/>
          </w:rPr>
          <w:t xml:space="preserve">https://learn.microsoft.com/graph/api/resources/intune-deviceconfig-devicecomplianceactionitem?view=graph-rest-1.0</w:t>
        </w:r>
      </w:hyperlink>
      <w:r>
        <w:t xml:space="preserve"> </w:t>
      </w:r>
      <w:r>
        <w:t xml:space="preserve">(accessed Oct 20, 2026).</w:t>
      </w:r>
    </w:p>
  </w:footnote>
  <w:footnote w:id="191">
    <w:p>
      <w:pPr>
        <w:pStyle w:val="FootnoteText"/>
      </w:pPr>
      <w:r>
        <w:rPr>
          <w:rStyle w:val="FootnoteReference"/>
        </w:rPr>
        <w:footnoteRef/>
      </w:r>
      <w:r>
        <w:t xml:space="preserve"> </w:t>
      </w:r>
      <w:r>
        <w:t xml:space="preserve">Microsoft Learn,</w:t>
      </w:r>
      <w:r>
        <w:t xml:space="preserve"> </w:t>
      </w:r>
      <w:r>
        <w:t xml:space="preserve">“Create deviceManagementConfigurationPolicy”</w:t>
      </w:r>
      <w:r>
        <w:t xml:space="preserve"> </w:t>
      </w:r>
      <w:r>
        <w:t xml:space="preserve">(Microsoft Graph beta),</w:t>
      </w:r>
      <w:r>
        <w:t xml:space="preserve"> </w:t>
      </w:r>
      <w:hyperlink r:id="rId192">
        <w:r>
          <w:rPr>
            <w:rStyle w:val="Hyperlink"/>
          </w:rPr>
          <w:t xml:space="preserve">https://learn.microsoft.com/graph/api/intune-deviceconfigv2-devicemanagementconfigurationpolicy-create?view=graph-rest-beta</w:t>
        </w:r>
      </w:hyperlink>
      <w:r>
        <w:t xml:space="preserve"> </w:t>
      </w:r>
      <w:r>
        <w:t xml:space="preserve">(accessed Oct 20, 2026).</w:t>
      </w:r>
    </w:p>
  </w:footnote>
  <w:footnote w:id="193">
    <w:p>
      <w:pPr>
        <w:pStyle w:val="FootnoteText"/>
      </w:pPr>
      <w:r>
        <w:rPr>
          <w:rStyle w:val="FootnoteReference"/>
        </w:rPr>
        <w:footnoteRef/>
      </w:r>
      <w:r>
        <w:t xml:space="preserve"> </w:t>
      </w:r>
      <w:r>
        <w:t xml:space="preserve">Microsoft Learn,</w:t>
      </w:r>
      <w:r>
        <w:t xml:space="preserve"> </w:t>
      </w:r>
      <w:r>
        <w:t xml:space="preserve">“deviceManagementIntent resource type”</w:t>
      </w:r>
      <w:r>
        <w:t xml:space="preserve"> </w:t>
      </w:r>
      <w:r>
        <w:t xml:space="preserve">(Microsoft Graph beta; no v1.0 version),</w:t>
      </w:r>
      <w:r>
        <w:t xml:space="preserve"> </w:t>
      </w:r>
      <w:hyperlink r:id="rId194">
        <w:r>
          <w:rPr>
            <w:rStyle w:val="Hyperlink"/>
          </w:rPr>
          <w:t xml:space="preserve">https://learn.microsoft.com/graph/api/resources/intune-deviceintent-devicemanagementintent?view=graph-rest-beta</w:t>
        </w:r>
      </w:hyperlink>
      <w:r>
        <w:t xml:space="preserve"> </w:t>
      </w:r>
      <w:r>
        <w:t xml:space="preserve">(accessed Oct 20, 2026).</w:t>
      </w:r>
    </w:p>
  </w:footnote>
  <w:footnote w:id="196">
    <w:p>
      <w:pPr>
        <w:pStyle w:val="FootnoteText"/>
      </w:pPr>
      <w:r>
        <w:rPr>
          <w:rStyle w:val="FootnoteReference"/>
        </w:rPr>
        <w:footnoteRef/>
      </w:r>
      <w:r>
        <w:t xml:space="preserve"> </w:t>
      </w:r>
      <w:r>
        <w:t xml:space="preserve">Microsoft Learn,</w:t>
      </w:r>
      <w:r>
        <w:t xml:space="preserve"> </w:t>
      </w:r>
      <w:r>
        <w:t xml:space="preserve">“Policy CSP - Defender,”</w:t>
      </w:r>
      <w:r>
        <w:t xml:space="preserve"> </w:t>
      </w:r>
      <w:r>
        <w:t xml:space="preserve">sections</w:t>
      </w:r>
      <w:r>
        <w:t xml:space="preserve"> </w:t>
      </w:r>
      <w:r>
        <w:t xml:space="preserve">“CloudBlockLevel,”</w:t>
      </w:r>
      <w:r>
        <w:t xml:space="preserve"> </w:t>
      </w:r>
      <w:r>
        <w:t xml:space="preserve">“CloudExtendedTimeout,”</w:t>
      </w:r>
      <w:r>
        <w:t xml:space="preserve"> </w:t>
      </w:r>
      <w:r>
        <w:t xml:space="preserve">“PUAProtection”</w:t>
      </w:r>
      <w:r>
        <w:t xml:space="preserve"> </w:t>
      </w:r>
      <w:r>
        <w:t xml:space="preserve">and</w:t>
      </w:r>
      <w:r>
        <w:t xml:space="preserve"> </w:t>
      </w:r>
      <w:r>
        <w:t xml:space="preserve">“SubmitSamplesConsent,”</w:t>
      </w:r>
      <w:r>
        <w:t xml:space="preserve"> </w:t>
      </w:r>
      <w:hyperlink r:id="rId120">
        <w:r>
          <w:rPr>
            <w:rStyle w:val="Hyperlink"/>
          </w:rPr>
          <w:t xml:space="preserve">https://learn.microsoft.com/windows/client-management/mdm/policy-csp-defender</w:t>
        </w:r>
      </w:hyperlink>
      <w:r>
        <w:t xml:space="preserve"> </w:t>
      </w:r>
      <w:r>
        <w:t xml:space="preserve">(accessed Oct 20, 2026).</w:t>
      </w:r>
    </w:p>
  </w:footnote>
  <w:footnote w:id="197">
    <w:p>
      <w:pPr>
        <w:pStyle w:val="FootnoteText"/>
      </w:pPr>
      <w:r>
        <w:rPr>
          <w:rStyle w:val="FootnoteReference"/>
        </w:rPr>
        <w:footnoteRef/>
      </w:r>
      <w:r>
        <w:t xml:space="preserve"> </w:t>
      </w:r>
      <w:r>
        <w:t xml:space="preserve">Microsoft Learn,</w:t>
      </w:r>
      <w:r>
        <w:t xml:space="preserve"> </w:t>
      </w:r>
      <w:r>
        <w:t xml:space="preserve">“Create deviceManagementConfigurationPolicy”</w:t>
      </w:r>
      <w:r>
        <w:t xml:space="preserve"> </w:t>
      </w:r>
      <w:r>
        <w:t xml:space="preserve">(Microsoft Graph beta),</w:t>
      </w:r>
      <w:r>
        <w:t xml:space="preserve"> </w:t>
      </w:r>
      <w:hyperlink r:id="rId192">
        <w:r>
          <w:rPr>
            <w:rStyle w:val="Hyperlink"/>
          </w:rPr>
          <w:t xml:space="preserve">https://learn.microsoft.com/graph/api/intune-deviceconfigv2-devicemanagementconfigurationpolicy-create?view=graph-rest-beta</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 Target="media/rId21.svg" /><Relationship Type="http://schemas.openxmlformats.org/officeDocument/2006/relationships/image" Id="rId62" Target="media/rId62.svg" /><Relationship Type="http://schemas.openxmlformats.org/officeDocument/2006/relationships/image" Id="rId102" Target="media/rId102.png" /><Relationship Type="http://schemas.openxmlformats.org/officeDocument/2006/relationships/image" Id="rId9" Target="media/rId9.png" /><Relationship Type="http://schemas.openxmlformats.org/officeDocument/2006/relationships/image" Id="rId199" Target="media/rId199.png" /><Relationship Type="http://schemas.openxmlformats.org/officeDocument/2006/relationships/image" Id="rId127" Target="media/rId127.png" /><Relationship Type="http://schemas.openxmlformats.org/officeDocument/2006/relationships/hyperlink" Id="rId163" Target="../../client-server-to-hybrid-cloud/05-policy-transformation.md" TargetMode="External" /><Relationship Type="http://schemas.openxmlformats.org/officeDocument/2006/relationships/hyperlink" Id="rId92" Target="../b02-identity/10-migrating-and-governing.md" TargetMode="External" /><Relationship Type="http://schemas.openxmlformats.org/officeDocument/2006/relationships/hyperlink" Id="rId57" Target="../b02-identity/appendix-c-identity-assessment-module.md" TargetMode="External" /><Relationship Type="http://schemas.openxmlformats.org/officeDocument/2006/relationships/hyperlink" Id="rId71" Target="../b04-access/index.md" TargetMode="External" /><Relationship Type="http://schemas.openxmlformats.org/officeDocument/2006/relationships/hyperlink" Id="rId58" Target="04-intune-first-onboarding.md" TargetMode="External" /><Relationship Type="http://schemas.openxmlformats.org/officeDocument/2006/relationships/hyperlink" Id="rId12" Target="07-the-gpo-sunset-program.md" TargetMode="External" /><Relationship Type="http://schemas.openxmlformats.org/officeDocument/2006/relationships/hyperlink" Id="rId32" Target="07-the-gpo-sunset-program.md#coexistence-who-wins" TargetMode="External" /><Relationship Type="http://schemas.openxmlformats.org/officeDocument/2006/relationships/hyperlink" Id="rId42" Target="07-the-gpo-sunset-program.md#freezing-and-unlinking-gpos" TargetMode="External" /><Relationship Type="http://schemas.openxmlformats.org/officeDocument/2006/relationships/hyperlink" Id="rId68" Target="07-the-gpo-sunset-program.md#one-authority-per-workload" TargetMode="External" /><Relationship Type="http://schemas.openxmlformats.org/officeDocument/2006/relationships/hyperlink" Id="rId25" Target="07-the-gpo-sunset-program.md#the-program-at-a-glance" TargetMode="External" /><Relationship Type="http://schemas.openxmlformats.org/officeDocument/2006/relationships/hyperlink" Id="rId20" Target="09-servers-under-azure-arc.md" TargetMode="External" /><Relationship Type="http://schemas.openxmlformats.org/officeDocument/2006/relationships/hyperlink" Id="rId59" Target="10-operating-and-evidencing-the-fleet.md#device-inventory-reconciliation" TargetMode="External" /><Relationship Type="http://schemas.openxmlformats.org/officeDocument/2006/relationships/hyperlink" Id="rId140" Target="10-operating-and-evidencing-the-fleet.md#microsoft-defender-for-endpoint" TargetMode="External" /><Relationship Type="http://schemas.openxmlformats.org/officeDocument/2006/relationships/hyperlink" Id="rId38" Target="10-operating-and-evidencing-the-fleet.md#windows-updates" TargetMode="External" /><Relationship Type="http://schemas.openxmlformats.org/officeDocument/2006/relationships/hyperlink" Id="rId13" Target="appendix-a-gpo-to-intune-crosswalk.md" TargetMode="External" /><Relationship Type="http://schemas.openxmlformats.org/officeDocument/2006/relationships/hyperlink" Id="rId162" Target="appendix-a-gpo-to-intune-crosswalk.md#setting-reference-50-common-gpo-settings" TargetMode="External" /><Relationship Type="http://schemas.openxmlformats.org/officeDocument/2006/relationships/hyperlink" Id="rId100" Target="https://learn.microsoft.com/compliance/anz/e8-app-harden" TargetMode="External" /><Relationship Type="http://schemas.openxmlformats.org/officeDocument/2006/relationships/hyperlink" Id="rId143" Target="https://learn.microsoft.com/defender-endpoint/attack-surface-reduction-rules-reference" TargetMode="External" /><Relationship Type="http://schemas.openxmlformats.org/officeDocument/2006/relationships/hyperlink" Id="rId124" Target="https://learn.microsoft.com/defender-endpoint/tamper-protection-overview" TargetMode="External" /><Relationship Type="http://schemas.openxmlformats.org/officeDocument/2006/relationships/hyperlink" Id="rId56" Target="https://learn.microsoft.com/entra/identity/users/groups-dynamic-membership" TargetMode="External" /><Relationship Type="http://schemas.openxmlformats.org/officeDocument/2006/relationships/hyperlink" Id="rId192" Target="https://learn.microsoft.com/graph/api/intune-deviceconfigv2-devicemanagementconfigurationpolicy-create?view=graph-rest-beta" TargetMode="External" /><Relationship Type="http://schemas.openxmlformats.org/officeDocument/2006/relationships/hyperlink" Id="rId190" Target="https://learn.microsoft.com/graph/api/resources/intune-deviceconfig-devicecomplianceactionitem?view=graph-rest-1.0" TargetMode="External" /><Relationship Type="http://schemas.openxmlformats.org/officeDocument/2006/relationships/hyperlink" Id="rId185" Target="https://learn.microsoft.com/graph/api/resources/intune-deviceconfig-windows10compliancepolicy?view=graph-rest-1.0" TargetMode="External" /><Relationship Type="http://schemas.openxmlformats.org/officeDocument/2006/relationships/hyperlink" Id="rId187" Target="https://learn.microsoft.com/graph/api/resources/intune-deviceconfig-windows10compliancepolicy?view=graph-rest-beta" TargetMode="External" /><Relationship Type="http://schemas.openxmlformats.org/officeDocument/2006/relationships/hyperlink" Id="rId194" Target="https://learn.microsoft.com/graph/api/resources/intune-deviceintent-devicemanagementintent?view=graph-rest-beta" TargetMode="External" /><Relationship Type="http://schemas.openxmlformats.org/officeDocument/2006/relationships/hyperlink" Id="rId172" Target="https://learn.microsoft.com/graph/deployments" TargetMode="External" /><Relationship Type="http://schemas.openxmlformats.org/officeDocument/2006/relationships/hyperlink" Id="rId158" Target="https://learn.microsoft.com/intune/app-management/protection/ref-settings-windows" TargetMode="External" /><Relationship Type="http://schemas.openxmlformats.org/officeDocument/2006/relationships/hyperlink" Id="rId31" Target="https://learn.microsoft.com/intune/configmgr/comanage/how-to-switch-workloads" TargetMode="External" /><Relationship Type="http://schemas.openxmlformats.org/officeDocument/2006/relationships/hyperlink" Id="rId40" Target="https://learn.microsoft.com/intune/configmgr/comanage/workloads" TargetMode="External" /><Relationship Type="http://schemas.openxmlformats.org/officeDocument/2006/relationships/hyperlink" Id="rId123" Target="https://learn.microsoft.com/intune/device-configuration/endpoint-security/antivirus" TargetMode="External" /><Relationship Type="http://schemas.openxmlformats.org/officeDocument/2006/relationships/hyperlink" Id="rId132" Target="https://learn.microsoft.com/intune/device-configuration/endpoint-security/encrypt-bitlocker-windows" TargetMode="External" /><Relationship Type="http://schemas.openxmlformats.org/officeDocument/2006/relationships/hyperlink" Id="rId27" Target="https://learn.microsoft.com/intune/device-configuration/import-group-policy-analytics" TargetMode="External" /><Relationship Type="http://schemas.openxmlformats.org/officeDocument/2006/relationships/hyperlink" Id="rId136" Target="https://learn.microsoft.com/intune/device-configuration/migrate-group-policy" TargetMode="External" /><Relationship Type="http://schemas.openxmlformats.org/officeDocument/2006/relationships/hyperlink" Id="rId51" Target="https://learn.microsoft.com/intune/device-configuration/troubleshoot-device-profiles" TargetMode="External" /><Relationship Type="http://schemas.openxmlformats.org/officeDocument/2006/relationships/hyperlink" Id="rId36" Target="https://learn.microsoft.com/intune/device-security/compliance/configure-noncompliance-actions" TargetMode="External" /><Relationship Type="http://schemas.openxmlformats.org/officeDocument/2006/relationships/hyperlink" Id="rId75" Target="https://learn.microsoft.com/intune/device-security/compliance/ref-windows-settings" TargetMode="External" /><Relationship Type="http://schemas.openxmlformats.org/officeDocument/2006/relationships/hyperlink" Id="rId53" Target="https://learn.microsoft.com/intune/device-security/endpoint-security-policies" TargetMode="External" /><Relationship Type="http://schemas.openxmlformats.org/officeDocument/2006/relationships/hyperlink" Id="rId153" Target="https://learn.microsoft.com/intune/device-security/laps/overview" TargetMode="External" /><Relationship Type="http://schemas.openxmlformats.org/officeDocument/2006/relationships/hyperlink" Id="rId139" Target="https://learn.microsoft.com/intune/device-security/microsoft-defender/configure-integration" TargetMode="External" /><Relationship Type="http://schemas.openxmlformats.org/officeDocument/2006/relationships/hyperlink" Id="rId19" Target="https://learn.microsoft.com/intune/device-security/microsoft-defender/security-settings-management" TargetMode="External" /><Relationship Type="http://schemas.openxmlformats.org/officeDocument/2006/relationships/hyperlink" Id="rId109" Target="https://learn.microsoft.com/intune/device-updates/windows/ref-update-ring-settings" TargetMode="External" /><Relationship Type="http://schemas.openxmlformats.org/officeDocument/2006/relationships/hyperlink" Id="rId15" Target="https://learn.microsoft.com/intune/fundamentals/filters/ref-device-properties" TargetMode="External" /><Relationship Type="http://schemas.openxmlformats.org/officeDocument/2006/relationships/hyperlink" Id="rId174" Target="https://learn.microsoft.com/intune/fundamentals/government-service" TargetMode="External" /><Relationship Type="http://schemas.openxmlformats.org/officeDocument/2006/relationships/hyperlink" Id="rId17" Target="https://learn.microsoft.com/intune/fundamentals/ref-supported-platforms" TargetMode="External" /><Relationship Type="http://schemas.openxmlformats.org/officeDocument/2006/relationships/hyperlink" Id="rId99" Target="https://learn.microsoft.com/lifecycle/faq/internet-explorer-microsoft-edge" TargetMode="External" /><Relationship Type="http://schemas.openxmlformats.org/officeDocument/2006/relationships/hyperlink" Id="rId106" Target="https://learn.microsoft.com/sharepoint/redirect-known-folders" TargetMode="External" /><Relationship Type="http://schemas.openxmlformats.org/officeDocument/2006/relationships/hyperlink" Id="rId151" Target="https://learn.microsoft.com/windows-server/identity/laps/laps-management-policy-settings" TargetMode="External" /><Relationship Type="http://schemas.openxmlformats.org/officeDocument/2006/relationships/hyperlink" Id="rId166" Target="https://learn.microsoft.com/windows/client-management/mdm/policy-csp-audit" TargetMode="External" /><Relationship Type="http://schemas.openxmlformats.org/officeDocument/2006/relationships/hyperlink" Id="rId120" Target="https://learn.microsoft.com/windows/client-management/mdm/policy-csp-defender" TargetMode="External" /><Relationship Type="http://schemas.openxmlformats.org/officeDocument/2006/relationships/hyperlink" Id="rId111" Target="https://learn.microsoft.com/windows/client-management/mdm/policy-csp-deliveryoptimization" TargetMode="External" /><Relationship Type="http://schemas.openxmlformats.org/officeDocument/2006/relationships/hyperlink" Id="rId91" Target="https://learn.microsoft.com/windows/client-management/mdm/policy-csp-devicelock" TargetMode="External" /><Relationship Type="http://schemas.openxmlformats.org/officeDocument/2006/relationships/hyperlink" Id="rId77" Target="https://learn.microsoft.com/windows/release-health/windows11-release-information" TargetMode="External" /><Relationship Type="http://schemas.openxmlformats.org/officeDocument/2006/relationships/hyperlink" Id="rId149" Target="https://learn.microsoft.com/windows/security/identity-protection/credential-guard/" TargetMode="External" /><Relationship Type="http://schemas.openxmlformats.org/officeDocument/2006/relationships/hyperlink" Id="rId147" Target="https://learn.microsoft.com/windows/whats-new/windows-licensing" TargetMode="External" /><Relationship Type="http://schemas.openxmlformats.org/officeDocument/2006/relationships/hyperlink" Id="rId202" Target="index.md" TargetMode="External" /></Relationships>
</file>

<file path=word/_rels/footnotes.xml.rels><?xml version="1.0" encoding="UTF-8"?><Relationships xmlns="http://schemas.openxmlformats.org/package/2006/relationships"><Relationship Type="http://schemas.openxmlformats.org/officeDocument/2006/relationships/hyperlink" Id="rId163" Target="../../client-server-to-hybrid-cloud/05-policy-transformation.md" TargetMode="External" /><Relationship Type="http://schemas.openxmlformats.org/officeDocument/2006/relationships/hyperlink" Id="rId92" Target="../b02-identity/10-migrating-and-governing.md" TargetMode="External" /><Relationship Type="http://schemas.openxmlformats.org/officeDocument/2006/relationships/hyperlink" Id="rId57" Target="../b02-identity/appendix-c-identity-assessment-module.md" TargetMode="External" /><Relationship Type="http://schemas.openxmlformats.org/officeDocument/2006/relationships/hyperlink" Id="rId71" Target="../b04-access/index.md" TargetMode="External" /><Relationship Type="http://schemas.openxmlformats.org/officeDocument/2006/relationships/hyperlink" Id="rId58" Target="04-intune-first-onboarding.md" TargetMode="External" /><Relationship Type="http://schemas.openxmlformats.org/officeDocument/2006/relationships/hyperlink" Id="rId12" Target="07-the-gpo-sunset-program.md" TargetMode="External" /><Relationship Type="http://schemas.openxmlformats.org/officeDocument/2006/relationships/hyperlink" Id="rId32" Target="07-the-gpo-sunset-program.md#coexistence-who-wins" TargetMode="External" /><Relationship Type="http://schemas.openxmlformats.org/officeDocument/2006/relationships/hyperlink" Id="rId42" Target="07-the-gpo-sunset-program.md#freezing-and-unlinking-gpos" TargetMode="External" /><Relationship Type="http://schemas.openxmlformats.org/officeDocument/2006/relationships/hyperlink" Id="rId68" Target="07-the-gpo-sunset-program.md#one-authority-per-workload" TargetMode="External" /><Relationship Type="http://schemas.openxmlformats.org/officeDocument/2006/relationships/hyperlink" Id="rId25" Target="07-the-gpo-sunset-program.md#the-program-at-a-glance" TargetMode="External" /><Relationship Type="http://schemas.openxmlformats.org/officeDocument/2006/relationships/hyperlink" Id="rId20" Target="09-servers-under-azure-arc.md" TargetMode="External" /><Relationship Type="http://schemas.openxmlformats.org/officeDocument/2006/relationships/hyperlink" Id="rId59" Target="10-operating-and-evidencing-the-fleet.md#device-inventory-reconciliation" TargetMode="External" /><Relationship Type="http://schemas.openxmlformats.org/officeDocument/2006/relationships/hyperlink" Id="rId140" Target="10-operating-and-evidencing-the-fleet.md#microsoft-defender-for-endpoint" TargetMode="External" /><Relationship Type="http://schemas.openxmlformats.org/officeDocument/2006/relationships/hyperlink" Id="rId38" Target="10-operating-and-evidencing-the-fleet.md#windows-updates" TargetMode="External" /><Relationship Type="http://schemas.openxmlformats.org/officeDocument/2006/relationships/hyperlink" Id="rId13" Target="appendix-a-gpo-to-intune-crosswalk.md" TargetMode="External" /><Relationship Type="http://schemas.openxmlformats.org/officeDocument/2006/relationships/hyperlink" Id="rId162" Target="appendix-a-gpo-to-intune-crosswalk.md#setting-reference-50-common-gpo-settings" TargetMode="External" /><Relationship Type="http://schemas.openxmlformats.org/officeDocument/2006/relationships/hyperlink" Id="rId100" Target="https://learn.microsoft.com/compliance/anz/e8-app-harden" TargetMode="External" /><Relationship Type="http://schemas.openxmlformats.org/officeDocument/2006/relationships/hyperlink" Id="rId143" Target="https://learn.microsoft.com/defender-endpoint/attack-surface-reduction-rules-reference" TargetMode="External" /><Relationship Type="http://schemas.openxmlformats.org/officeDocument/2006/relationships/hyperlink" Id="rId124" Target="https://learn.microsoft.com/defender-endpoint/tamper-protection-overview" TargetMode="External" /><Relationship Type="http://schemas.openxmlformats.org/officeDocument/2006/relationships/hyperlink" Id="rId56" Target="https://learn.microsoft.com/entra/identity/users/groups-dynamic-membership" TargetMode="External" /><Relationship Type="http://schemas.openxmlformats.org/officeDocument/2006/relationships/hyperlink" Id="rId192" Target="https://learn.microsoft.com/graph/api/intune-deviceconfigv2-devicemanagementconfigurationpolicy-create?view=graph-rest-beta" TargetMode="External" /><Relationship Type="http://schemas.openxmlformats.org/officeDocument/2006/relationships/hyperlink" Id="rId190" Target="https://learn.microsoft.com/graph/api/resources/intune-deviceconfig-devicecomplianceactionitem?view=graph-rest-1.0" TargetMode="External" /><Relationship Type="http://schemas.openxmlformats.org/officeDocument/2006/relationships/hyperlink" Id="rId185" Target="https://learn.microsoft.com/graph/api/resources/intune-deviceconfig-windows10compliancepolicy?view=graph-rest-1.0" TargetMode="External" /><Relationship Type="http://schemas.openxmlformats.org/officeDocument/2006/relationships/hyperlink" Id="rId187" Target="https://learn.microsoft.com/graph/api/resources/intune-deviceconfig-windows10compliancepolicy?view=graph-rest-beta" TargetMode="External" /><Relationship Type="http://schemas.openxmlformats.org/officeDocument/2006/relationships/hyperlink" Id="rId194" Target="https://learn.microsoft.com/graph/api/resources/intune-deviceintent-devicemanagementintent?view=graph-rest-beta" TargetMode="External" /><Relationship Type="http://schemas.openxmlformats.org/officeDocument/2006/relationships/hyperlink" Id="rId172" Target="https://learn.microsoft.com/graph/deployments" TargetMode="External" /><Relationship Type="http://schemas.openxmlformats.org/officeDocument/2006/relationships/hyperlink" Id="rId158" Target="https://learn.microsoft.com/intune/app-management/protection/ref-settings-windows" TargetMode="External" /><Relationship Type="http://schemas.openxmlformats.org/officeDocument/2006/relationships/hyperlink" Id="rId31" Target="https://learn.microsoft.com/intune/configmgr/comanage/how-to-switch-workloads" TargetMode="External" /><Relationship Type="http://schemas.openxmlformats.org/officeDocument/2006/relationships/hyperlink" Id="rId40" Target="https://learn.microsoft.com/intune/configmgr/comanage/workloads" TargetMode="External" /><Relationship Type="http://schemas.openxmlformats.org/officeDocument/2006/relationships/hyperlink" Id="rId123" Target="https://learn.microsoft.com/intune/device-configuration/endpoint-security/antivirus" TargetMode="External" /><Relationship Type="http://schemas.openxmlformats.org/officeDocument/2006/relationships/hyperlink" Id="rId132" Target="https://learn.microsoft.com/intune/device-configuration/endpoint-security/encrypt-bitlocker-windows" TargetMode="External" /><Relationship Type="http://schemas.openxmlformats.org/officeDocument/2006/relationships/hyperlink" Id="rId27" Target="https://learn.microsoft.com/intune/device-configuration/import-group-policy-analytics" TargetMode="External" /><Relationship Type="http://schemas.openxmlformats.org/officeDocument/2006/relationships/hyperlink" Id="rId136" Target="https://learn.microsoft.com/intune/device-configuration/migrate-group-policy" TargetMode="External" /><Relationship Type="http://schemas.openxmlformats.org/officeDocument/2006/relationships/hyperlink" Id="rId51" Target="https://learn.microsoft.com/intune/device-configuration/troubleshoot-device-profiles" TargetMode="External" /><Relationship Type="http://schemas.openxmlformats.org/officeDocument/2006/relationships/hyperlink" Id="rId36" Target="https://learn.microsoft.com/intune/device-security/compliance/configure-noncompliance-actions" TargetMode="External" /><Relationship Type="http://schemas.openxmlformats.org/officeDocument/2006/relationships/hyperlink" Id="rId75" Target="https://learn.microsoft.com/intune/device-security/compliance/ref-windows-settings" TargetMode="External" /><Relationship Type="http://schemas.openxmlformats.org/officeDocument/2006/relationships/hyperlink" Id="rId53" Target="https://learn.microsoft.com/intune/device-security/endpoint-security-policies" TargetMode="External" /><Relationship Type="http://schemas.openxmlformats.org/officeDocument/2006/relationships/hyperlink" Id="rId153" Target="https://learn.microsoft.com/intune/device-security/laps/overview" TargetMode="External" /><Relationship Type="http://schemas.openxmlformats.org/officeDocument/2006/relationships/hyperlink" Id="rId139" Target="https://learn.microsoft.com/intune/device-security/microsoft-defender/configure-integration" TargetMode="External" /><Relationship Type="http://schemas.openxmlformats.org/officeDocument/2006/relationships/hyperlink" Id="rId19" Target="https://learn.microsoft.com/intune/device-security/microsoft-defender/security-settings-management" TargetMode="External" /><Relationship Type="http://schemas.openxmlformats.org/officeDocument/2006/relationships/hyperlink" Id="rId109" Target="https://learn.microsoft.com/intune/device-updates/windows/ref-update-ring-settings" TargetMode="External" /><Relationship Type="http://schemas.openxmlformats.org/officeDocument/2006/relationships/hyperlink" Id="rId15" Target="https://learn.microsoft.com/intune/fundamentals/filters/ref-device-properties" TargetMode="External" /><Relationship Type="http://schemas.openxmlformats.org/officeDocument/2006/relationships/hyperlink" Id="rId174" Target="https://learn.microsoft.com/intune/fundamentals/government-service" TargetMode="External" /><Relationship Type="http://schemas.openxmlformats.org/officeDocument/2006/relationships/hyperlink" Id="rId17" Target="https://learn.microsoft.com/intune/fundamentals/ref-supported-platforms" TargetMode="External" /><Relationship Type="http://schemas.openxmlformats.org/officeDocument/2006/relationships/hyperlink" Id="rId99" Target="https://learn.microsoft.com/lifecycle/faq/internet-explorer-microsoft-edge" TargetMode="External" /><Relationship Type="http://schemas.openxmlformats.org/officeDocument/2006/relationships/hyperlink" Id="rId106" Target="https://learn.microsoft.com/sharepoint/redirect-known-folders" TargetMode="External" /><Relationship Type="http://schemas.openxmlformats.org/officeDocument/2006/relationships/hyperlink" Id="rId151" Target="https://learn.microsoft.com/windows-server/identity/laps/laps-management-policy-settings" TargetMode="External" /><Relationship Type="http://schemas.openxmlformats.org/officeDocument/2006/relationships/hyperlink" Id="rId166" Target="https://learn.microsoft.com/windows/client-management/mdm/policy-csp-audit" TargetMode="External" /><Relationship Type="http://schemas.openxmlformats.org/officeDocument/2006/relationships/hyperlink" Id="rId120" Target="https://learn.microsoft.com/windows/client-management/mdm/policy-csp-defender" TargetMode="External" /><Relationship Type="http://schemas.openxmlformats.org/officeDocument/2006/relationships/hyperlink" Id="rId111" Target="https://learn.microsoft.com/windows/client-management/mdm/policy-csp-deliveryoptimization" TargetMode="External" /><Relationship Type="http://schemas.openxmlformats.org/officeDocument/2006/relationships/hyperlink" Id="rId91" Target="https://learn.microsoft.com/windows/client-management/mdm/policy-csp-devicelock" TargetMode="External" /><Relationship Type="http://schemas.openxmlformats.org/officeDocument/2006/relationships/hyperlink" Id="rId77" Target="https://learn.microsoft.com/windows/release-health/windows11-release-information" TargetMode="External" /><Relationship Type="http://schemas.openxmlformats.org/officeDocument/2006/relationships/hyperlink" Id="rId149" Target="https://learn.microsoft.com/windows/security/identity-protection/credential-guard/" TargetMode="External" /><Relationship Type="http://schemas.openxmlformats.org/officeDocument/2006/relationships/hyperlink" Id="rId147" Target="https://learn.microsoft.com/windows/whats-new/windows-licensing" TargetMode="External" /><Relationship Type="http://schemas.openxmlformats.org/officeDocument/2006/relationships/hyperlink" Id="rId202"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08 — GPO to Intune Policy Migration</dc:title>
  <dc:creator/>
  <dc:description>The technical side of the GPO sunset: seven phases with tasks, durations, gates, rings, testing and rollback, and the program’s library of Intune policy templates for compliance, configuration, endpoint security and app protection, with dynamic group templates and Microsoft Graph templates; the setting-level crosswalk is Appendix A.</dc:description>
  <cp:keywords/>
  <dcterms:created xsi:type="dcterms:W3CDTF">2026-10-20T23:25:51Z</dcterms:created>
  <dcterms:modified xsi:type="dcterms:W3CDTF">2026-10-20T23:25:51Z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8</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