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svg" ContentType="image/svg+xml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12 — What the Engine-Authentication Decision Settles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56" w:name="Xf9d6be41e9be33d00a7e2701d09a1c500ba6bbb"/>
    <w:p>
      <w:pPr>
        <w:pStyle w:val="Heading1"/>
      </w:pPr>
      <w:r>
        <w:t xml:space="preserve">Chapter 12 — What the Engine-Authentication Decision Settles</w:t>
      </w:r>
    </w:p>
    <w:p>
      <w:pPr>
        <w:pStyle w:val="FirstParagraph"/>
      </w:pPr>
      <w:r>
        <w:rPr>
          <w:i/>
          <w:iCs/>
        </w:rPr>
        <w:t xml:space="preserve">Five governance positions turn the migration pattern into enforceable canon.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 this chapter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five decisions the engine-authentication decision records: that consolidation gates authentication migration, that the parallel-run sequence is required, that SQL Authentication is eliminated and</w:t>
            </w:r>
            <w:r>
              <w:t xml:space="preserve"> </w:t>
            </w:r>
            <w:r>
              <w:rPr>
                <w:rStyle w:val="VerbatimChar"/>
              </w:rPr>
              <w:t xml:space="preserve">sa</w:t>
            </w:r>
            <w:r>
              <w:t xml:space="preserve"> </w:t>
            </w:r>
            <w:r>
              <w:t xml:space="preserve">disabled and renamed, that pre-2022 instances are upgrade-or-except with a certificate-based authentication interim posture, and that the per-instance compliance record is the closure artifact.</w:t>
            </w:r>
          </w:p>
          <w:p/>
        </w:tc>
      </w:tr>
    </w:tbl>
    <w:p>
      <w:pPr>
        <w:pStyle w:val="CaptionedFigure"/>
      </w:pPr>
      <w:r>
        <w:drawing>
          <wp:inline>
            <wp:extent cx="5295900" cy="5314950"/>
            <wp:effectExtent b="0" l="0" r="0" t="0"/>
            <wp:docPr descr="The five positions of the engine-authentication decision, in operational order, ending in the closure record." title="" id="13" name="Picture"/>
            <a:graphic>
              <a:graphicData uri="http://schemas.openxmlformats.org/drawingml/2006/picture">
                <pic:pic>
                  <pic:nvPicPr>
                    <pic:cNvPr descr="../../images/sql-server/diagrams/svg/book-05-ch02-five-decisions.svg" id="1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5314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five positions of the engine-authentication decision, in operational order, ending in the closure record.</w:t>
      </w:r>
    </w:p>
    <w:p>
      <w:pPr>
        <w:pStyle w:val="BodyText"/>
      </w:pPr>
      <w:hyperlink r:id="rId15">
        <w:r>
          <w:rPr>
            <w:rStyle w:val="Hyperlink"/>
          </w:rPr>
          <w:t xml:space="preserve">Chapter 11</w:t>
        </w:r>
      </w:hyperlink>
      <w:r>
        <w:t xml:space="preserve">’s pattern covers the engineering case, Windows logins migrated through</w:t>
      </w:r>
      <w:r>
        <w:t xml:space="preserve"> </w:t>
      </w:r>
      <w:r>
        <w:rPr>
          <w:rStyle w:val="VerbatimChar"/>
        </w:rPr>
        <w:t xml:space="preserve">FROM EXTERNAL PROVIDER</w:t>
      </w:r>
      <w:r>
        <w:t xml:space="preserve">,</w:t>
      </w:r>
      <w:r>
        <w:rPr>
          <w:rStyle w:val="FootnoteReference"/>
        </w:rPr>
        <w:footnoteReference w:id="16"/>
      </w:r>
      <w:r>
        <w:t xml:space="preserve"> </w:t>
      </w:r>
      <w:r>
        <w:t xml:space="preserve">but leaves governance positions that need a decision, not a narrative. The SQL Server engine-authentication decision (currently proposed) is the engine-layer companion to the Kerberos/NTLM-elimination program (protocol layer) and the Arc non-domain-join requirement (server and OS layer). It answers all five positions, in operational order.</w:t>
      </w:r>
    </w:p>
    <w:bookmarkStart w:id="22" w:name="Xc79ce85946d64c309d07a1177f8de9ad3b60cb5"/>
    <w:p>
      <w:pPr>
        <w:pStyle w:val="Heading2"/>
      </w:pPr>
      <w:r>
        <w:t xml:space="preserve">Decision 1: consolidation precedes and gates authentication migration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Established in Chapter 06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Every instance is classified retain, consolidate-into-target or retire before any migration work; Arc-eligibility Categories 1–3 (</w:t>
            </w:r>
            <w:hyperlink r:id="rId21">
              <w:r>
                <w:rPr>
                  <w:rStyle w:val="Hyperlink"/>
                </w:rPr>
                <w:t xml:space="preserve">Chapter 07</w:t>
              </w:r>
            </w:hyperlink>
            <w:r>
              <w:t xml:space="preserve">) are layered on top.</w:t>
            </w:r>
          </w:p>
          <w:p/>
        </w:tc>
      </w:tr>
    </w:tbl>
    <w:p>
      <w:pPr>
        <w:pStyle w:val="BodyText"/>
      </w:pPr>
      <w:r>
        <w:t xml:space="preserve">The decision makes that assessment the normative prerequisite for this part of the book. Only retain instances and consolidation targets are migrated; migrating logins on instances about to be retired or collapsed is wasted effort. Consolidating into fewer SQL Server 2022 or later targets, Azure SQL Managed Instance, or Arc-enabled SQL Server is also the natural moment to retire cross-domain login sprawl, orphaned SPNs and shared service accounts.</w:t>
      </w:r>
    </w:p>
    <w:bookmarkEnd w:id="22"/>
    <w:bookmarkStart w:id="25" w:name="X03355f699cfd7d155855994729bbb8648689877"/>
    <w:p>
      <w:pPr>
        <w:pStyle w:val="Heading2"/>
      </w:pPr>
      <w:r>
        <w:t xml:space="preserve">Decision 2: the parallel-run sequence is required</w:t>
      </w:r>
    </w:p>
    <w:p>
      <w:pPr>
        <w:pStyle w:val="FirstParagraph"/>
      </w:pPr>
      <w:r>
        <w:t xml:space="preserve">On every retain or target instance, Windows logins (type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users, type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groups) and SQL Authentication logins (type</w:t>
      </w:r>
      <w:r>
        <w:t xml:space="preserve"> </w:t>
      </w:r>
      <w:r>
        <w:rPr>
          <w:rStyle w:val="VerbatimChar"/>
        </w:rPr>
        <w:t xml:space="preserve">S</w:t>
      </w:r>
      <w:r>
        <w:t xml:space="preserve">) migrate to Entra external-provider logins through Chapter 11’s parallel run, which is required for production. The letters are the values of</w:t>
      </w:r>
      <w:r>
        <w:t xml:space="preserve"> </w:t>
      </w:r>
      <w:r>
        <w:rPr>
          <w:rStyle w:val="VerbatimChar"/>
        </w:rPr>
        <w:t xml:space="preserve">sys.server_principals.type</w:t>
      </w:r>
      <w:r>
        <w:t xml:space="preserve">, not mnemonics:</w:t>
      </w:r>
      <w:r>
        <w:t xml:space="preserve"> </w:t>
      </w:r>
      <w:r>
        <w:rPr>
          <w:b/>
          <w:bCs/>
        </w:rPr>
        <w:t xml:space="preserve">S</w:t>
      </w:r>
      <w:r>
        <w:t xml:space="preserve"> </w:t>
      </w:r>
      <w:r>
        <w:t xml:space="preserve">SQL login,</w:t>
      </w:r>
      <w:r>
        <w:t xml:space="preserve"> </w:t>
      </w:r>
      <w:r>
        <w:rPr>
          <w:b/>
          <w:bCs/>
        </w:rPr>
        <w:t xml:space="preserve">U</w:t>
      </w:r>
      <w:r>
        <w:t xml:space="preserve"> </w:t>
      </w:r>
      <w:r>
        <w:t xml:space="preserve">Windows login,</w:t>
      </w:r>
      <w:r>
        <w:t xml:space="preserve"> </w:t>
      </w:r>
      <w:r>
        <w:rPr>
          <w:b/>
          <w:bCs/>
        </w:rPr>
        <w:t xml:space="preserve">G</w:t>
      </w:r>
      <w:r>
        <w:t xml:space="preserve"> </w:t>
      </w:r>
      <w:r>
        <w:t xml:space="preserve">Windows group,</w:t>
      </w:r>
      <w:r>
        <w:t xml:space="preserve"> </w:t>
      </w:r>
      <w:r>
        <w:rPr>
          <w:b/>
          <w:bCs/>
        </w:rPr>
        <w:t xml:space="preserve">E</w:t>
      </w:r>
      <w:r>
        <w:t xml:space="preserve"> </w:t>
      </w:r>
      <w:r>
        <w:t xml:space="preserve">external (Entra) login or application,</w:t>
      </w:r>
      <w:r>
        <w:t xml:space="preserve"> </w:t>
      </w:r>
      <w:r>
        <w:rPr>
          <w:b/>
          <w:bCs/>
        </w:rPr>
        <w:t xml:space="preserve">X</w:t>
      </w:r>
      <w:r>
        <w:t xml:space="preserve"> </w:t>
      </w:r>
      <w:r>
        <w:t xml:space="preserve">external (Entra) group.</w:t>
      </w:r>
      <w:r>
        <w:rPr>
          <w:rStyle w:val="FootnoteReference"/>
        </w:rPr>
        <w:footnoteReference w:id="23"/>
      </w:r>
      <w:r>
        <w:t xml:space="preserve"> </w:t>
      </w:r>
      <w:r>
        <w:t xml:space="preserve">There’s no type</w:t>
      </w:r>
      <w:r>
        <w:t xml:space="preserve"> </w:t>
      </w:r>
      <w:r>
        <w:rPr>
          <w:rStyle w:val="VerbatimChar"/>
        </w:rPr>
        <w:t xml:space="preserve">W</w:t>
      </w:r>
      <w:r>
        <w:t xml:space="preserve">: a discovery query written against one returns zero rows and reports a clean instance, which is how a typo becomes a false attestation of closure.</w:t>
      </w:r>
    </w:p>
    <w:p>
      <w:pPr>
        <w:pStyle w:val="BodyText"/>
      </w:pPr>
      <w:r>
        <w:t xml:space="preserve">Non-production instances may compress the 30-day observation window only with documented owner sign-off. Disable-and-observe keeps every cutover reversible inside the window, so a wrong mapping locks no one out.</w:t>
      </w:r>
    </w:p>
    <w:bookmarkEnd w:id="25"/>
    <w:bookmarkStart w:id="32" w:name="X7bdddad5711b4e7e4b5ecd17a58bd1408d96b42"/>
    <w:p>
      <w:pPr>
        <w:pStyle w:val="Heading2"/>
      </w:pPr>
      <w:r>
        <w:t xml:space="preserve">Decision 3: SQL Authentication eliminated; sa disabled and renamed</w:t>
      </w:r>
    </w:p>
    <w:p>
      <w:pPr>
        <w:pStyle w:val="FirstParagraph"/>
      </w:pPr>
      <w:r>
        <w:t xml:space="preserve">Every active type-S login on a retain or target instance migrates to a service-principal or managed-identity login, or carries a documented exception with a named compensating control and a sunset date. Open-ended retention isn’t an option. A SQL Authentication login is checked against a password in</w:t>
      </w:r>
      <w:r>
        <w:t xml:space="preserve"> </w:t>
      </w:r>
      <w:r>
        <w:rPr>
          <w:rStyle w:val="VerbatimChar"/>
        </w:rPr>
        <w:t xml:space="preserve">master</w:t>
      </w:r>
      <w:r>
        <w:t xml:space="preserve"> </w:t>
      </w:r>
      <w:r>
        <w:t xml:space="preserve">and never reaches Microsoft Entra ID or a domain controller, so Conditional Access can’t evaluate it</w:t>
      </w:r>
      <w:r>
        <w:rPr>
          <w:rStyle w:val="FootnoteReference"/>
        </w:rPr>
        <w:footnoteReference w:id="26"/>
      </w:r>
      <w:r>
        <w:t xml:space="preserve"> </w:t>
      </w:r>
      <w:r>
        <w:t xml:space="preserve">and Microsoft Defender for Identity, whose sensors run on domain controllers and other identity servers, never sees it.</w:t>
      </w:r>
      <w:r>
        <w:rPr>
          <w:rStyle w:val="FootnoteReference"/>
        </w:rPr>
        <w:footnoteReference w:id="28"/>
      </w:r>
    </w:p>
    <w:p>
      <w:pPr>
        <w:pStyle w:val="BodyText"/>
      </w:pPr>
      <w:r>
        <w:rPr>
          <w:rStyle w:val="VerbatimChar"/>
        </w:rPr>
        <w:t xml:space="preserve">sa</w:t>
      </w:r>
      <w:r>
        <w:t xml:space="preserve"> </w:t>
      </w:r>
      <w:r>
        <w:t xml:space="preserve">is disabled and renamed on every production instance. Any retained emergency recovery is a documented, monitored break-glass procedure, not an active</w:t>
      </w:r>
      <w:r>
        <w:t xml:space="preserve"> </w:t>
      </w:r>
      <w:r>
        <w:rPr>
          <w:rStyle w:val="VerbatimChar"/>
        </w:rPr>
        <w:t xml:space="preserve">sa</w:t>
      </w:r>
      <w:r>
        <w:t xml:space="preserve">. An enabled</w:t>
      </w:r>
      <w:r>
        <w:t xml:space="preserve"> </w:t>
      </w:r>
      <w:r>
        <w:rPr>
          <w:rStyle w:val="VerbatimChar"/>
        </w:rPr>
        <w:t xml:space="preserve">sa</w:t>
      </w:r>
      <w:r>
        <w:t xml:space="preserve"> </w:t>
      </w:r>
      <w:r>
        <w:t xml:space="preserve">with a non-rotated password is the authentication audit’s highest-priority finding. On SQL Server 2025 enabled by Azure Arc, the Disable SQL Authentication setting closes the door for</w:t>
      </w:r>
      <w:r>
        <w:t xml:space="preserve"> </w:t>
      </w:r>
      <w:r>
        <w:rPr>
          <w:rStyle w:val="VerbatimChar"/>
        </w:rPr>
        <w:t xml:space="preserve">sa</w:t>
      </w:r>
      <w:r>
        <w:t xml:space="preserve"> </w:t>
      </w:r>
      <w:r>
        <w:t xml:space="preserve">and every other SQL login together.</w:t>
      </w:r>
      <w:r>
        <w:rPr>
          <w:rStyle w:val="FootnoteReference"/>
        </w:rPr>
        <w:footnoteReference w:id="30"/>
      </w:r>
    </w:p>
    <w:bookmarkEnd w:id="32"/>
    <w:bookmarkStart w:id="40" w:name="X8b6b447c9d8dcbd40bb12d38b2e45e544551608"/>
    <w:p>
      <w:pPr>
        <w:pStyle w:val="Heading2"/>
      </w:pPr>
      <w:r>
        <w:t xml:space="preserve">Decision 4: pre-2022 instances are upgrade-or-except</w:t>
      </w:r>
    </w:p>
    <w:p>
      <w:pPr>
        <w:pStyle w:val="FirstParagraph"/>
      </w:pPr>
      <w:r>
        <w:t xml:space="preserve">External-provider logins require SQL Server 2022 or later; on the program’s path, that means the Azure extension for SQL Server on an Arc-enabled host. A pre-2022 Category 3 instance can’t accept them regardless of Arc status, and neither can a failover cluster instance on any version.</w:t>
      </w:r>
      <w:r>
        <w:rPr>
          <w:rStyle w:val="FootnoteReference"/>
        </w:rPr>
        <w:footnoteReference w:id="33"/>
      </w:r>
      <w:r>
        <w:t xml:space="preserve"> </w:t>
      </w:r>
      <w:r>
        <w:t xml:space="preserve">A Category 3 retain instance either upgrades and follows the Category 2-to-1 pathway or files a sunset-dated exception, though most Category 3 instances should be retire or consolidation candidates. An exception records the reason, the compensating control (for example, an identity-protection product that applies MFA or block policies to NTLM authentication),</w:t>
      </w:r>
      <w:r>
        <w:rPr>
          <w:rStyle w:val="FootnoteReference"/>
        </w:rPr>
        <w:footnoteReference w:id="35"/>
      </w:r>
      <w:r>
        <w:t xml:space="preserve"> </w:t>
      </w:r>
      <w:r>
        <w:t xml:space="preserve">the maximum duration, and acknowledgement that the program’s 2027-04-01 NTLM block is applied in the operating system’s security layer and ignores engine-layer exceptions. That date is the program’s own backstop, not a Microsoft deadline (</w:t>
      </w:r>
      <w:hyperlink r:id="rId37">
        <w:r>
          <w:rPr>
            <w:rStyle w:val="Hyperlink"/>
          </w:rPr>
          <w:t xml:space="preserve">Chapter 02</w:t>
        </w:r>
      </w:hyperlink>
      <w:r>
        <w:t xml:space="preserve">).</w:t>
      </w:r>
    </w:p>
    <w:p>
      <w:pPr>
        <w:pStyle w:val="BodyText"/>
      </w:pPr>
      <w:r>
        <w:t xml:space="preserve">Connections that can’t reach Kerberos or Entra authentication by that date use certificate-based authentication, the authorized interim posture, which makes the AD CS-to-Cloud-PKI transformation (Not Yet Defined in the transformation inventory) a hard dependency for the exception long tail (</w:t>
      </w:r>
      <w:hyperlink r:id="rId38">
        <w:r>
          <w:rPr>
            <w:rStyle w:val="Hyperlink"/>
          </w:rPr>
          <w:t xml:space="preserve">Chapter 09</w:t>
        </w:r>
      </w:hyperlink>
      <w:r>
        <w:t xml:space="preserve">,</w:t>
      </w:r>
      <w:r>
        <w:t xml:space="preserve"> </w:t>
      </w:r>
      <w:hyperlink r:id="rId39">
        <w:r>
          <w:rPr>
            <w:rStyle w:val="Hyperlink"/>
          </w:rPr>
          <w:t xml:space="preserve">Chapter 22</w:t>
        </w:r>
      </w:hyperlink>
      <w:r>
        <w:t xml:space="preserve">).</w:t>
      </w:r>
    </w:p>
    <w:bookmarkEnd w:id="40"/>
    <w:bookmarkStart w:id="55" w:name="Xea35da8a28ec3d3f01cfd88f685401f79560f8a"/>
    <w:p>
      <w:pPr>
        <w:pStyle w:val="Heading2"/>
      </w:pPr>
      <w:r>
        <w:t xml:space="preserve">Decision 5: the per-instance compliance record is the closure artifact</w:t>
      </w:r>
    </w:p>
    <w:p>
      <w:pPr>
        <w:pStyle w:val="FirstParagraph"/>
      </w:pPr>
      <w:r>
        <w:t xml:space="preserve">An instance is closed when its compliance record simultaneously shows:</w:t>
      </w:r>
    </w:p>
    <w:p>
      <w:pPr>
        <w:pStyle w:val="Compact"/>
        <w:numPr>
          <w:ilvl w:val="0"/>
          <w:numId w:val="1001"/>
        </w:numPr>
      </w:pPr>
      <w:r>
        <w:t xml:space="preserve">SQL authentication refused:</w:t>
      </w:r>
      <w:r>
        <w:t xml:space="preserve"> </w:t>
      </w:r>
      <w:r>
        <w:rPr>
          <w:rStyle w:val="VerbatimChar"/>
        </w:rPr>
        <w:t xml:space="preserve">LoginMode = 1</w:t>
      </w:r>
      <w:r>
        <w:t xml:space="preserve"> </w:t>
      </w:r>
      <w:r>
        <w:t xml:space="preserve">(</w:t>
      </w:r>
      <w:r>
        <w:rPr>
          <w:rStyle w:val="VerbatimChar"/>
        </w:rPr>
        <w:t xml:space="preserve">SERVERPROPERTY('IsIntegratedSecurityOnly') = 1</w:t>
      </w:r>
      <w:r>
        <w:t xml:space="preserve">), and on SQL Server 2025 the Disable SQL Authentication setting on (</w:t>
      </w:r>
      <w:r>
        <w:rPr>
          <w:rStyle w:val="VerbatimChar"/>
        </w:rPr>
        <w:t xml:space="preserve">SERVERPROPERTY('IsExternalAuthenticationOnly') = 1</w:t>
      </w:r>
      <w:r>
        <w:t xml:space="preserve">)</w:t>
      </w:r>
      <w:r>
        <w:rPr>
          <w:rStyle w:val="FootnoteReference"/>
        </w:rPr>
        <w:footnoteReference w:id="41"/>
      </w:r>
      <w:r>
        <w:rPr>
          <w:rStyle w:val="FootnoteReference"/>
        </w:rPr>
        <w:footnoteReference w:id="43"/>
      </w:r>
    </w:p>
    <w:p>
      <w:pPr>
        <w:pStyle w:val="Compact"/>
        <w:numPr>
          <w:ilvl w:val="0"/>
          <w:numId w:val="1001"/>
        </w:numPr>
      </w:pPr>
      <w:r>
        <w:t xml:space="preserve">zero active type-S logins outside the exception registry, and zero active type-U or type-G logins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sa</w:t>
      </w:r>
      <w:r>
        <w:t xml:space="preserve"> </w:t>
      </w:r>
      <w:r>
        <w:t xml:space="preserve">disabled and renamed</w:t>
      </w:r>
    </w:p>
    <w:p>
      <w:pPr>
        <w:pStyle w:val="Compact"/>
        <w:numPr>
          <w:ilvl w:val="0"/>
          <w:numId w:val="1001"/>
        </w:numPr>
      </w:pPr>
      <w:r>
        <w:t xml:space="preserve">the Arc Connected Machine agent connected and healthy, and the Azure extension for SQL Server deployed with Entra authentication configured</w:t>
      </w:r>
      <w:r>
        <w:rPr>
          <w:rStyle w:val="FootnoteReference"/>
        </w:rPr>
        <w:footnoteReference w:id="44"/>
      </w:r>
    </w:p>
    <w:p>
      <w:pPr>
        <w:pStyle w:val="Compact"/>
        <w:numPr>
          <w:ilvl w:val="0"/>
          <w:numId w:val="1001"/>
        </w:numPr>
      </w:pPr>
      <w:r>
        <w:t xml:space="preserve">for human principals, Conditional Access MFA enforcement satisfied for SQL Server resource sign-ins over a defined validation period</w:t>
      </w:r>
    </w:p>
    <w:p>
      <w:pPr>
        <w:pStyle w:val="FirstParagraph"/>
      </w:pPr>
      <w:r>
        <w:t xml:space="preserve">“Done”</w:t>
      </w:r>
      <w:r>
        <w:t xml:space="preserve"> </w:t>
      </w:r>
      <w:r>
        <w:t xml:space="preserve">becomes a queryable posture instead of a claim. Because Windows Authentication is always available and no engine setting disables it,</w:t>
      </w:r>
      <w:r>
        <w:rPr>
          <w:rStyle w:val="FootnoteReference"/>
        </w:rPr>
        <w:footnoteReference w:id="46"/>
      </w:r>
      <w:r>
        <w:t xml:space="preserve"> </w:t>
      </w:r>
      <w:r>
        <w:t xml:space="preserve">the record evidences the Entra-exclusive posture through the absence of Windows logins rather than by reading a mode switch (</w:t>
      </w:r>
      <w:hyperlink r:id="rId48">
        <w:r>
          <w:rPr>
            <w:rStyle w:val="Hyperlink"/>
          </w:rPr>
          <w:t xml:space="preserve">Chapter 20</w:t>
        </w:r>
      </w:hyperlink>
      <w:r>
        <w:t xml:space="preserve">). Closure is continuously verified: the authentication audit runs on a schedule, and drift (</w:t>
      </w:r>
      <w:r>
        <w:rPr>
          <w:rStyle w:val="VerbatimChar"/>
        </w:rPr>
        <w:t xml:space="preserve">LoginMode</w:t>
      </w:r>
      <w:r>
        <w:t xml:space="preserve"> </w:t>
      </w:r>
      <w:r>
        <w:t xml:space="preserve">reverting, a new type-S, U or G login, the Arc agent going offline) is a violation that triggers remediation.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What this chapter establishes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Consolidation gates migration, and the parallel run is required in production.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SQL Authentication is eliminated and</w:t>
            </w:r>
            <w:r>
              <w:t xml:space="preserve"> </w:t>
            </w:r>
            <w:r>
              <w:rPr>
                <w:rStyle w:val="VerbatimChar"/>
              </w:rPr>
              <w:t xml:space="preserve">sa</w:t>
            </w:r>
            <w:r>
              <w:t xml:space="preserve"> </w:t>
            </w:r>
            <w:r>
              <w:t xml:space="preserve">disabled and renamed; pre-2022 instances and failover cluster instances upgrade, re-platform or carry a sunset-dated exception.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The per-instance compliance record is the continuously re-verified closure artifact.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Continue the book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5">
              <w:r>
                <w:rPr>
                  <w:rStyle w:val="Hyperlink"/>
                </w:rPr>
                <w:t xml:space="preserve">← Previous: Chapter 11 — Three Principal Types: User, Group, Service Principal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53">
              <w:r>
                <w:rPr>
                  <w:rStyle w:val="Hyperlink"/>
                </w:rPr>
                <w:t xml:space="preserve">Book index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54">
              <w:r>
                <w:rPr>
                  <w:rStyle w:val="Hyperlink"/>
                </w:rPr>
                <w:t xml:space="preserve">Next: Chapter 13 — Who Owns the Data Platform →</w:t>
              </w:r>
            </w:hyperlink>
          </w:p>
          <w:p/>
        </w:tc>
      </w:tr>
    </w:tbl>
    <w:bookmarkEnd w:id="55"/>
    <w:bookmarkEnd w:id="5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“CREATE LOGIN (Transact-SQL),”</w:t>
      </w:r>
      <w:r>
        <w:t xml:space="preserve"> </w:t>
      </w:r>
      <w:hyperlink r:id="rId17">
        <w:r>
          <w:rPr>
            <w:rStyle w:val="Hyperlink"/>
          </w:rPr>
          <w:t xml:space="preserve">https://learn.microsoft.com/sql/t-sql/statements/create-login-transact-sql</w:t>
        </w:r>
      </w:hyperlink>
      <w:r>
        <w:t xml:space="preserve"> </w:t>
      </w:r>
      <w:r>
        <w:t xml:space="preserve">(accessed Oct 20, 2026).</w:t>
      </w:r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“sys.server_principals (Transact-SQL),”</w:t>
      </w:r>
      <w:r>
        <w:t xml:space="preserve"> </w:t>
      </w:r>
      <w:hyperlink r:id="rId24">
        <w:r>
          <w:rPr>
            <w:rStyle w:val="Hyperlink"/>
          </w:rPr>
          <w:t xml:space="preserve">https://learn.microsoft.com/sql/relational-databases/system-catalog-views/sys-server-principals-transact-sql</w:t>
        </w:r>
      </w:hyperlink>
      <w:r>
        <w:t xml:space="preserve"> </w:t>
      </w:r>
      <w:r>
        <w:t xml:space="preserve">(accessed Oct 20, 2026).</w:t>
      </w:r>
    </w:p>
  </w:footnote>
  <w:footnote w:id="2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“What is Conditional Access?,”</w:t>
      </w:r>
      <w:r>
        <w:t xml:space="preserve"> </w:t>
      </w:r>
      <w:hyperlink r:id="rId27">
        <w:r>
          <w:rPr>
            <w:rStyle w:val="Hyperlink"/>
          </w:rPr>
          <w:t xml:space="preserve">https://learn.microsoft.com/entra/identity/conditional-access/overview</w:t>
        </w:r>
      </w:hyperlink>
      <w:r>
        <w:t xml:space="preserve"> </w:t>
      </w:r>
      <w:r>
        <w:t xml:space="preserve">(accessed Oct 20, 2026).</w:t>
      </w:r>
    </w:p>
  </w:footnote>
  <w:footnote w:id="2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“Microsoft Defender for Identity sensor v2.x prerequisites,”</w:t>
      </w:r>
      <w:r>
        <w:t xml:space="preserve"> </w:t>
      </w:r>
      <w:r>
        <w:t xml:space="preserve">server requirements,</w:t>
      </w:r>
      <w:r>
        <w:t xml:space="preserve"> </w:t>
      </w:r>
      <w:hyperlink r:id="rId29">
        <w:r>
          <w:rPr>
            <w:rStyle w:val="Hyperlink"/>
          </w:rPr>
          <w:t xml:space="preserve">https://learn.microsoft.com/defender-for-identity/deploy/prerequisites-sensor-version-2</w:t>
        </w:r>
      </w:hyperlink>
      <w:r>
        <w:t xml:space="preserve"> </w:t>
      </w:r>
      <w:r>
        <w:t xml:space="preserve">(accessed Oct 20, 2026).</w:t>
      </w:r>
    </w:p>
  </w:footnote>
  <w:footnote w:id="3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“Disable SQL authentication for SQL Server enabled by Azure Arc,”</w:t>
      </w:r>
      <w:r>
        <w:t xml:space="preserve"> </w:t>
      </w:r>
      <w:hyperlink r:id="rId31">
        <w:r>
          <w:rPr>
            <w:rStyle w:val="Hyperlink"/>
          </w:rPr>
          <w:t xml:space="preserve">https://learn.microsoft.com/sql/sql-server/azure-arc/disable-sql-authentication</w:t>
        </w:r>
      </w:hyperlink>
      <w:r>
        <w:t xml:space="preserve"> </w:t>
      </w:r>
      <w:r>
        <w:t xml:space="preserve">(accessed Oct 20, 2026).</w:t>
      </w:r>
    </w:p>
  </w:footnote>
  <w:footnote w:id="3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“Microsoft Entra authentication for SQL Server,”</w:t>
      </w:r>
      <w:r>
        <w:t xml:space="preserve"> </w:t>
      </w:r>
      <w:hyperlink r:id="rId34">
        <w:r>
          <w:rPr>
            <w:rStyle w:val="Hyperlink"/>
          </w:rPr>
          <w:t xml:space="preserve">https://learn.microsoft.com/sql/relational-databases/security/authentication-access/azure-ad-authentication-sql-server-overview</w:t>
        </w:r>
      </w:hyperlink>
      <w:r>
        <w:t xml:space="preserve"> </w:t>
      </w:r>
      <w:r>
        <w:t xml:space="preserve">(accessed Oct 20, 2026).</w:t>
      </w:r>
    </w:p>
  </w:footnote>
  <w:footnote w:id="3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Third-party source (vendor case study), Silverfort,</w:t>
      </w:r>
      <w:r>
        <w:t xml:space="preserve"> </w:t>
      </w:r>
      <w:r>
        <w:t xml:space="preserve">“Customer case study: preventing NTLM-based lateral movement with Silverfort,”</w:t>
      </w:r>
      <w:r>
        <w:t xml:space="preserve"> </w:t>
      </w:r>
      <w:hyperlink r:id="rId36">
        <w:r>
          <w:rPr>
            <w:rStyle w:val="Hyperlink"/>
          </w:rPr>
          <w:t xml:space="preserve">https://www.silverfort.com/blog/customer-case-study-preventing-ntlm-based-lateral-movement-with-silverfort/</w:t>
        </w:r>
      </w:hyperlink>
      <w:r>
        <w:t xml:space="preserve"> </w:t>
      </w:r>
      <w:r>
        <w:t xml:space="preserve">(accessed Oct 20, 2026). Cited as an example of the control category, not an endorsement.</w:t>
      </w:r>
    </w:p>
  </w:footnote>
  <w:footnote w:id="4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“Change server authentication mode,”</w:t>
      </w:r>
      <w:r>
        <w:t xml:space="preserve"> </w:t>
      </w:r>
      <w:hyperlink r:id="rId42">
        <w:r>
          <w:rPr>
            <w:rStyle w:val="Hyperlink"/>
          </w:rPr>
          <w:t xml:space="preserve">https://learn.microsoft.com/sql/database-engine/configure-windows/change-server-authentication-mode</w:t>
        </w:r>
      </w:hyperlink>
      <w:r>
        <w:t xml:space="preserve"> </w:t>
      </w:r>
      <w:r>
        <w:t xml:space="preserve">(accessed Oct 20, 2026).</w:t>
      </w:r>
    </w:p>
  </w:footnote>
  <w:footnote w:id="4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“Disable SQL authentication for SQL Server enabled by Azure Arc,”</w:t>
      </w:r>
      <w:r>
        <w:t xml:space="preserve"> </w:t>
      </w:r>
      <w:hyperlink r:id="rId31">
        <w:r>
          <w:rPr>
            <w:rStyle w:val="Hyperlink"/>
          </w:rPr>
          <w:t xml:space="preserve">https://learn.microsoft.com/sql/sql-server/azure-arc/disable-sql-authentication</w:t>
        </w:r>
      </w:hyperlink>
      <w:r>
        <w:t xml:space="preserve"> </w:t>
      </w:r>
      <w:r>
        <w:t xml:space="preserve">(accessed Oct 20, 2026).</w:t>
      </w:r>
    </w:p>
  </w:footnote>
  <w:footnote w:id="4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“What is Azure Arc-enabled servers?,”</w:t>
      </w:r>
      <w:r>
        <w:t xml:space="preserve"> </w:t>
      </w:r>
      <w:r>
        <w:t xml:space="preserve">agent status,</w:t>
      </w:r>
      <w:r>
        <w:t xml:space="preserve"> </w:t>
      </w:r>
      <w:hyperlink r:id="rId45">
        <w:r>
          <w:rPr>
            <w:rStyle w:val="Hyperlink"/>
          </w:rPr>
          <w:t xml:space="preserve">https://learn.microsoft.com/azure/azure-arc/servers/overview</w:t>
        </w:r>
      </w:hyperlink>
      <w:r>
        <w:t xml:space="preserve"> </w:t>
      </w:r>
      <w:r>
        <w:t xml:space="preserve">(accessed Oct 20, 2026).</w:t>
      </w:r>
    </w:p>
  </w:footnote>
  <w:footnote w:id="4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t xml:space="preserve">“Choose an authentication mode,”</w:t>
      </w:r>
      <w:r>
        <w:t xml:space="preserve"> </w:t>
      </w:r>
      <w:hyperlink r:id="rId47">
        <w:r>
          <w:rPr>
            <w:rStyle w:val="Hyperlink"/>
          </w:rPr>
          <w:t xml:space="preserve">https://learn.microsoft.com/sql/relational-databases/security/choose-an-authentication-mode</w:t>
        </w:r>
      </w:hyperlink>
      <w:r>
        <w:t xml:space="preserve"> </w:t>
      </w:r>
      <w:r>
        <w:t xml:space="preserve">(accessed Oct 20, 2026).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sv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37" Target="02-why-the-inheritance-must-end.md" TargetMode="External" /><Relationship Type="http://schemas.openxmlformats.org/officeDocument/2006/relationships/hyperlink" Id="rId21" Target="07-the-authentication-audit.md" TargetMode="External" /><Relationship Type="http://schemas.openxmlformats.org/officeDocument/2006/relationships/hyperlink" Id="rId38" Target="09-what-arc-provides-to-sql-server.md" TargetMode="External" /><Relationship Type="http://schemas.openxmlformats.org/officeDocument/2006/relationships/hyperlink" Id="rId15" Target="11-three-principal-types.md" TargetMode="External" /><Relationship Type="http://schemas.openxmlformats.org/officeDocument/2006/relationships/hyperlink" Id="rId54" Target="13-who-owns-the-data-platform.md" TargetMode="External" /><Relationship Type="http://schemas.openxmlformats.org/officeDocument/2006/relationships/hyperlink" Id="rId48" Target="20-the-closure-condition.md" TargetMode="External" /><Relationship Type="http://schemas.openxmlformats.org/officeDocument/2006/relationships/hyperlink" Id="rId39" Target="22-where-sql-server-touches-adcs.md" TargetMode="External" /><Relationship Type="http://schemas.openxmlformats.org/officeDocument/2006/relationships/hyperlink" Id="rId45" Target="https://learn.microsoft.com/azure/azure-arc/servers/overview" TargetMode="External" /><Relationship Type="http://schemas.openxmlformats.org/officeDocument/2006/relationships/hyperlink" Id="rId29" Target="https://learn.microsoft.com/defender-for-identity/deploy/prerequisites-sensor-version-2" TargetMode="External" /><Relationship Type="http://schemas.openxmlformats.org/officeDocument/2006/relationships/hyperlink" Id="rId27" Target="https://learn.microsoft.com/entra/identity/conditional-access/overview" TargetMode="External" /><Relationship Type="http://schemas.openxmlformats.org/officeDocument/2006/relationships/hyperlink" Id="rId42" Target="https://learn.microsoft.com/sql/database-engine/configure-windows/change-server-authentication-mode" TargetMode="External" /><Relationship Type="http://schemas.openxmlformats.org/officeDocument/2006/relationships/hyperlink" Id="rId34" Target="https://learn.microsoft.com/sql/relational-databases/security/authentication-access/azure-ad-authentication-sql-server-overview" TargetMode="External" /><Relationship Type="http://schemas.openxmlformats.org/officeDocument/2006/relationships/hyperlink" Id="rId47" Target="https://learn.microsoft.com/sql/relational-databases/security/choose-an-authentication-mode" TargetMode="External" /><Relationship Type="http://schemas.openxmlformats.org/officeDocument/2006/relationships/hyperlink" Id="rId24" Target="https://learn.microsoft.com/sql/relational-databases/system-catalog-views/sys-server-principals-transact-sql" TargetMode="External" /><Relationship Type="http://schemas.openxmlformats.org/officeDocument/2006/relationships/hyperlink" Id="rId31" Target="https://learn.microsoft.com/sql/sql-server/azure-arc/disable-sql-authentication" TargetMode="External" /><Relationship Type="http://schemas.openxmlformats.org/officeDocument/2006/relationships/hyperlink" Id="rId17" Target="https://learn.microsoft.com/sql/t-sql/statements/create-login-transact-sql" TargetMode="External" /><Relationship Type="http://schemas.openxmlformats.org/officeDocument/2006/relationships/hyperlink" Id="rId36" Target="https://www.silverfort.com/blog/customer-case-study-preventing-ntlm-based-lateral-movement-with-silverfort/" TargetMode="External" /><Relationship Type="http://schemas.openxmlformats.org/officeDocument/2006/relationships/hyperlink" Id="rId53" Target="index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02-why-the-inheritance-must-end.md" TargetMode="External" /><Relationship Type="http://schemas.openxmlformats.org/officeDocument/2006/relationships/hyperlink" Id="rId21" Target="07-the-authentication-audit.md" TargetMode="External" /><Relationship Type="http://schemas.openxmlformats.org/officeDocument/2006/relationships/hyperlink" Id="rId38" Target="09-what-arc-provides-to-sql-server.md" TargetMode="External" /><Relationship Type="http://schemas.openxmlformats.org/officeDocument/2006/relationships/hyperlink" Id="rId15" Target="11-three-principal-types.md" TargetMode="External" /><Relationship Type="http://schemas.openxmlformats.org/officeDocument/2006/relationships/hyperlink" Id="rId54" Target="13-who-owns-the-data-platform.md" TargetMode="External" /><Relationship Type="http://schemas.openxmlformats.org/officeDocument/2006/relationships/hyperlink" Id="rId48" Target="20-the-closure-condition.md" TargetMode="External" /><Relationship Type="http://schemas.openxmlformats.org/officeDocument/2006/relationships/hyperlink" Id="rId39" Target="22-where-sql-server-touches-adcs.md" TargetMode="External" /><Relationship Type="http://schemas.openxmlformats.org/officeDocument/2006/relationships/hyperlink" Id="rId45" Target="https://learn.microsoft.com/azure/azure-arc/servers/overview" TargetMode="External" /><Relationship Type="http://schemas.openxmlformats.org/officeDocument/2006/relationships/hyperlink" Id="rId29" Target="https://learn.microsoft.com/defender-for-identity/deploy/prerequisites-sensor-version-2" TargetMode="External" /><Relationship Type="http://schemas.openxmlformats.org/officeDocument/2006/relationships/hyperlink" Id="rId27" Target="https://learn.microsoft.com/entra/identity/conditional-access/overview" TargetMode="External" /><Relationship Type="http://schemas.openxmlformats.org/officeDocument/2006/relationships/hyperlink" Id="rId42" Target="https://learn.microsoft.com/sql/database-engine/configure-windows/change-server-authentication-mode" TargetMode="External" /><Relationship Type="http://schemas.openxmlformats.org/officeDocument/2006/relationships/hyperlink" Id="rId34" Target="https://learn.microsoft.com/sql/relational-databases/security/authentication-access/azure-ad-authentication-sql-server-overview" TargetMode="External" /><Relationship Type="http://schemas.openxmlformats.org/officeDocument/2006/relationships/hyperlink" Id="rId47" Target="https://learn.microsoft.com/sql/relational-databases/security/choose-an-authentication-mode" TargetMode="External" /><Relationship Type="http://schemas.openxmlformats.org/officeDocument/2006/relationships/hyperlink" Id="rId24" Target="https://learn.microsoft.com/sql/relational-databases/system-catalog-views/sys-server-principals-transact-sql" TargetMode="External" /><Relationship Type="http://schemas.openxmlformats.org/officeDocument/2006/relationships/hyperlink" Id="rId31" Target="https://learn.microsoft.com/sql/sql-server/azure-arc/disable-sql-authentication" TargetMode="External" /><Relationship Type="http://schemas.openxmlformats.org/officeDocument/2006/relationships/hyperlink" Id="rId17" Target="https://learn.microsoft.com/sql/t-sql/statements/create-login-transact-sql" TargetMode="External" /><Relationship Type="http://schemas.openxmlformats.org/officeDocument/2006/relationships/hyperlink" Id="rId36" Target="https://www.silverfort.com/blog/customer-case-study-preventing-ntlm-based-lateral-movement-with-silverfort/" TargetMode="External" /><Relationship Type="http://schemas.openxmlformats.org/officeDocument/2006/relationships/hyperlink" Id="rId53" Target="index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12 — What the Engine-Authentication Decision Settles</dc:title>
  <dc:creator/>
  <dc:description>The five governance positions the SQL Server engine-authentication decision records: consolidation gates migration, the parallel run is required, SQL Authentication is eliminated and sa disabled, pre-2022 instances upgrade or carry an exception, and the per-instance compliance record is the closure artifact.</dc:description>
  <cp:keywords/>
  <dcterms:created xsi:type="dcterms:W3CDTF">2026-10-20T23:26:04Z</dcterms:created>
  <dcterms:modified xsi:type="dcterms:W3CDTF">2026-10-20T23:26:04Z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book">
    <vt:lpwstr>B06</vt:lpwstr>
  </property>
  <property fmtid="{D5CDD505-2E9C-101B-9397-08002B2CF9AE}" pid="5" name="doc-type">
    <vt:lpwstr>workbook-chapter</vt:lpwstr>
  </property>
  <property fmtid="{D5CDD505-2E9C-101B-9397-08002B2CF9AE}" pid="6" name="family">
    <vt:lpwstr>b06-data-platform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lifecycle">
    <vt:lpwstr>active</vt:lpwstr>
  </property>
  <property fmtid="{D5CDD505-2E9C-101B-9397-08002B2CF9AE}" pid="12" name="lifecycle_review">
    <vt:lpwstr>2027-04-01</vt:lpwstr>
  </property>
  <property fmtid="{D5CDD505-2E9C-101B-9397-08002B2CF9AE}" pid="13" name="part">
    <vt:lpwstr>What</vt:lpwstr>
  </property>
  <property fmtid="{D5CDD505-2E9C-101B-9397-08002B2CF9AE}" pid="14" name="series-order">
    <vt:lpwstr>12</vt:lpwstr>
  </property>
  <property fmtid="{D5CDD505-2E9C-101B-9397-08002B2CF9AE}" pid="15" name="status">
    <vt:lpwstr>draft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