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9.svg" ContentType="image/svg+xml"/>
  <Override PartName="/word/media/rId50.svg" ContentType="image/svg+xml"/>
  <Override PartName="/word/media/rId16.svg" ContentType="image/svg+xml"/>
  <Override PartName="/word/media/rId9.png" ContentType="image/png"/>
  <Override PartName="/word/media/rId12.png" ContentType="image/png"/>
  <Override PartName="/word/media/rId3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16 — Groups, Roles and How Membership Reaches the Engine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77" w:name="Xe41af1b9762b90ffc6a4f6ea6384a0f9ffc69a2"/>
    <w:p>
      <w:pPr>
        <w:pStyle w:val="Heading1"/>
      </w:pPr>
      <w:r>
        <w:t xml:space="preserve">Chapter 16 — Groups, Roles and How Membership Reaches the Engine</w:t>
      </w:r>
    </w:p>
    <w:p>
      <w:pPr>
        <w:pStyle w:val="FirstParagraph"/>
      </w:pPr>
      <w:r>
        <w:rPr>
          <w:i/>
          <w:iCs/>
        </w:rPr>
        <w:t xml:space="preserve">Group-based authorization survives the migration. Its plumbing, its timing and its outer boundary don’t.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How an Entra security group becomes a SQL Server login and a database role member. Why each group should grant exactly one role, and why the group model should stay flat. When a membership change actually takes effect at the engine. How the four kinds of AD group found in a SQL Server estate migrate. Why Conditional Access becomes the outer perimeter for people once every login is Entra-backed, and what covers application identities instead.</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tip.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Where this part of the book goes next</w:t>
            </w:r>
          </w:p>
        </w:tc>
      </w:tr>
      <w:tr>
        <w:trPr>
          <w:cantSplit/>
        </w:trPr>
        <w:tc>
          <w:tcPr>
            <w:tcMar>
              <w:top w:w="108" w:type="dxa"/>
              <w:bottom w:w="108" w:type="dxa"/>
            </w:tcMar>
          </w:tcPr>
          <w:p>
            <w:pPr>
              <w:pStyle w:val="BodyText"/>
            </w:pPr>
            <w:pPr>
              <w:spacing w:before="16" w:after="16"/>
            </w:pPr>
            <w:r>
              <w:t xml:space="preserve">The migration moves SQL Server’s groups from Active Directory to Microsoft Entra ID, but it keeps group-based authorization. What changes is who maintains the groups and how. A group that maps to a single database role can keep itself current from HR-sourced attributes, which removes the helpdesk ticket. That only works if the attributes are trustworthy, the rules are tested, delegation is scoped and privileged access is just in time. Chapters 16 and 17 cover that design and the governance it needs; in the program’s dependency chain this is step 5, introducing Entra principals. The working procedure is</w:t>
            </w:r>
            <w:r>
              <w:t xml:space="preserve"> </w:t>
            </w:r>
            <w:hyperlink r:id="rId15">
              <w:r>
                <w:rPr>
                  <w:rStyle w:val="Hyperlink"/>
                </w:rPr>
                <w:t xml:space="preserve">Runbook R07</w:t>
              </w:r>
            </w:hyperlink>
            <w:r>
              <w:t xml:space="preserve">.</w:t>
            </w:r>
          </w:p>
          <w:p/>
        </w:tc>
      </w:tr>
    </w:tbl>
    <w:p>
      <w:pPr>
        <w:pStyle w:val="CaptionedFigure"/>
      </w:pPr>
      <w:r>
        <w:drawing>
          <wp:inline>
            <wp:extent cx="4381500" cy="5562600"/>
            <wp:effectExtent b="0" l="0" r="0" t="0"/>
            <wp:docPr descr="The directory half of SQL Server access moves to Entra ID; the engine half barely changes." title="" id="17" name="Picture"/>
            <a:graphic>
              <a:graphicData uri="http://schemas.openxmlformats.org/drawingml/2006/picture">
                <pic:pic>
                  <pic:nvPicPr>
                    <pic:cNvPr descr="../../images/sql-server/diagrams/svg/book-07-two-halves-of-access.svg" id="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4381500" cy="5562600"/>
                    </a:xfrm>
                    <a:prstGeom prst="rect">
                      <a:avLst/>
                    </a:prstGeom>
                    <a:noFill/>
                    <a:ln w="9525">
                      <a:noFill/>
                      <a:headEnd/>
                      <a:tailEnd/>
                    </a:ln>
                  </pic:spPr>
                </pic:pic>
              </a:graphicData>
            </a:graphic>
          </wp:inline>
        </w:drawing>
      </w:r>
    </w:p>
    <w:p>
      <w:pPr>
        <w:pStyle w:val="ImageCaption"/>
      </w:pPr>
      <w:r>
        <w:t xml:space="preserve">The directory half of SQL Server access moves to Entra ID; the engine half barely changes.</w:t>
      </w:r>
    </w:p>
    <w:p>
      <w:pPr>
        <w:pStyle w:val="BodyText"/>
      </w:pPr>
      <w:r>
        <w:t xml:space="preserve">SQL Server’s access model has two halves: roles and permissions inside the engine, and the directory outside it that decides group membership. For twenty years the outside half was Active Directory: a DBA mapped</w:t>
      </w:r>
      <w:r>
        <w:t xml:space="preserve"> </w:t>
      </w:r>
      <w:r>
        <w:rPr>
          <w:rStyle w:val="VerbatimChar"/>
        </w:rPr>
        <w:t xml:space="preserve">DOMAIN\SQL-Reporting-Readers</w:t>
      </w:r>
      <w:r>
        <w:t xml:space="preserve"> </w:t>
      </w:r>
      <w:r>
        <w:t xml:space="preserve">to a login and role, and whoever controlled that AD group controlled access.</w:t>
      </w:r>
    </w:p>
    <w:p>
      <w:pPr>
        <w:pStyle w:val="BodyText"/>
      </w:pPr>
      <w:r>
        <w:t xml:space="preserve">The transformation replaces the outside half and leaves the inside nearly untouched. Roles,</w:t>
      </w:r>
      <w:r>
        <w:t xml:space="preserve"> </w:t>
      </w:r>
      <w:r>
        <w:rPr>
          <w:rStyle w:val="VerbatimChar"/>
        </w:rPr>
        <w:t xml:space="preserve">GRANT</w:t>
      </w:r>
      <w:r>
        <w:t xml:space="preserve"> </w:t>
      </w:r>
      <w:r>
        <w:t xml:space="preserve">and</w:t>
      </w:r>
      <w:r>
        <w:t xml:space="preserve"> </w:t>
      </w:r>
      <w:r>
        <w:rPr>
          <w:rStyle w:val="VerbatimChar"/>
        </w:rPr>
        <w:t xml:space="preserve">DENY</w:t>
      </w:r>
      <w:r>
        <w:t xml:space="preserve">, ownership chains and module signing work as before. What changes is the principal (an Entra group), the proof of membership (an Entra token, not a Kerberos ticket) and when a membership change takes effect.</w:t>
      </w:r>
    </w:p>
    <w:bookmarkStart w:id="37" w:name="Xe946cde27a2ef74118946f6a3afb16f513b40b9"/>
    <w:p>
      <w:pPr>
        <w:pStyle w:val="Heading2"/>
      </w:pPr>
      <w:r>
        <w:t xml:space="preserve">How an Entra group becomes SQL Server access</w:t>
      </w:r>
    </w:p>
    <w:p>
      <w:pPr>
        <w:pStyle w:val="CaptionedFigure"/>
      </w:pPr>
      <w:r>
        <w:drawing>
          <wp:inline>
            <wp:extent cx="5334000" cy="4099352"/>
            <wp:effectExtent b="0" l="0" r="0" t="0"/>
            <wp:docPr descr="How one Entra group becomes exactly one database role." title="" id="20" name="Picture"/>
            <a:graphic>
              <a:graphicData uri="http://schemas.openxmlformats.org/drawingml/2006/picture">
                <pic:pic>
                  <pic:nvPicPr>
                    <pic:cNvPr descr="../../images/sql-server/diagrams/svg/book-07-ch01-group-to-login-mapping.svg" id="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bwMode="auto">
                    <a:xfrm>
                      <a:off x="0" y="0"/>
                      <a:ext cx="5334000" cy="4099352"/>
                    </a:xfrm>
                    <a:prstGeom prst="rect">
                      <a:avLst/>
                    </a:prstGeom>
                    <a:noFill/>
                    <a:ln w="9525">
                      <a:noFill/>
                      <a:headEnd/>
                      <a:tailEnd/>
                    </a:ln>
                  </pic:spPr>
                </pic:pic>
              </a:graphicData>
            </a:graphic>
          </wp:inline>
        </w:drawing>
      </w:r>
    </w:p>
    <w:p>
      <w:pPr>
        <w:pStyle w:val="ImageCaption"/>
      </w:pPr>
      <w:r>
        <w:t xml:space="preserve">How one Entra group becomes exactly one database role.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2" name="Picture"/>
                  <a:graphic>
                    <a:graphicData uri="http://schemas.openxmlformats.org/drawingml/2006/picture">
                      <pic:pic>
                        <pic:nvPicPr>
                          <pic:cNvPr descr="/opt/quarto/share/formats/docx/tip.png" id="23"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Established in Chapters 11–12</w:t>
            </w:r>
          </w:p>
        </w:tc>
      </w:tr>
      <w:tr>
        <w:trPr>
          <w:cantSplit/>
        </w:trPr>
        <w:tc>
          <w:tcPr>
            <w:tcMar>
              <w:top w:w="108" w:type="dxa"/>
              <w:bottom w:w="108" w:type="dxa"/>
            </w:tcMar>
          </w:tcPr>
          <w:p>
            <w:pPr>
              <w:pStyle w:val="BodyText"/>
            </w:pPr>
            <w:pPr>
              <w:spacing w:before="16" w:after="16"/>
            </w:pPr>
            <w:r>
              <w:rPr>
                <w:rStyle w:val="VerbatimChar"/>
              </w:rPr>
              <w:t xml:space="preserve">CREATE LOGIN … FROM EXTERNAL PROVIDER</w:t>
            </w:r>
            <w:r>
              <w:t xml:space="preserve"> </w:t>
            </w:r>
            <w:r>
              <w:t xml:space="preserve">creates logins for Entra users and applications (type E,</w:t>
            </w:r>
            <w:r>
              <w:t xml:space="preserve"> </w:t>
            </w:r>
            <w:r>
              <w:rPr>
                <w:rStyle w:val="VerbatimChar"/>
              </w:rPr>
              <w:t xml:space="preserve">EXTERNAL_LOGIN</w:t>
            </w:r>
            <w:r>
              <w:t xml:space="preserve">) and for Entra groups (type X,</w:t>
            </w:r>
            <w:r>
              <w:t xml:space="preserve"> </w:t>
            </w:r>
            <w:r>
              <w:rPr>
                <w:rStyle w:val="VerbatimChar"/>
              </w:rPr>
              <w:t xml:space="preserve">EXTERNAL_GROUP</w:t>
            </w:r>
            <w:r>
              <w:t xml:space="preserve">).</w:t>
            </w:r>
          </w:p>
          <w:p/>
        </w:tc>
      </w:tr>
    </w:tbl>
    <w:p>
      <w:pPr>
        <w:pStyle w:val="BodyText"/>
      </w:pPr>
      <w:r>
        <w:t xml:space="preserve">A group enters SQL Server as an AD group did: as a server login created from the group’s name, then a database user (</w:t>
      </w:r>
      <w:r>
        <w:rPr>
          <w:rStyle w:val="VerbatimChar"/>
        </w:rPr>
        <w:t xml:space="preserve">CREATE USER … FROM LOGIN</w:t>
      </w:r>
      <w:r>
        <w:t xml:space="preserve">) added to a role. For users the principal name is the user principal name; for groups and applications it’s the name of the Entra object.</w:t>
      </w:r>
      <w:r>
        <w:rPr>
          <w:rStyle w:val="FootnoteReference"/>
        </w:rPr>
        <w:footnoteReference w:id="24"/>
      </w:r>
      <w:r>
        <w:t xml:space="preserve"> </w:t>
      </w:r>
      <w:r>
        <w:t xml:space="preserve">The continuous audit in</w:t>
      </w:r>
      <w:r>
        <w:t xml:space="preserve"> </w:t>
      </w:r>
      <w:hyperlink r:id="rId26">
        <w:r>
          <w:rPr>
            <w:rStyle w:val="Hyperlink"/>
          </w:rPr>
          <w:t xml:space="preserve">Chapter 20</w:t>
        </w:r>
      </w:hyperlink>
      <w:r>
        <w:t xml:space="preserve"> </w:t>
      </w:r>
      <w:r>
        <w:t xml:space="preserve">must count type X as well as type E (</w:t>
      </w:r>
      <w:r>
        <w:rPr>
          <w:rStyle w:val="VerbatimChar"/>
        </w:rPr>
        <w:t xml:space="preserve">SELECT * FROM sys.server_principals WHERE type IN ('E','X')</w:t>
      </w:r>
      <w:r>
        <w:t xml:space="preserve">), because group logins are where most access should live.</w:t>
      </w:r>
      <w:r>
        <w:rPr>
          <w:rStyle w:val="FootnoteReference"/>
        </w:rPr>
        <w:footnoteReference w:id="27"/>
      </w:r>
    </w:p>
    <w:p>
      <w:pPr>
        <w:pStyle w:val="BodyText"/>
      </w:pPr>
      <w:r>
        <w:t xml:space="preserve">The instance’s Microsoft Entra administrator, chosen when Entra authentication is set up through Azure Arc, becomes</w:t>
      </w:r>
      <w:r>
        <w:t xml:space="preserve"> </w:t>
      </w:r>
      <w:r>
        <w:rPr>
          <w:rStyle w:val="VerbatimChar"/>
        </w:rPr>
        <w:t xml:space="preserve">sysadmin</w:t>
      </w:r>
      <w:r>
        <w:t xml:space="preserve"> </w:t>
      </w:r>
      <w:r>
        <w:t xml:space="preserve">on the instance.</w:t>
      </w:r>
      <w:r>
        <w:rPr>
          <w:rStyle w:val="FootnoteReference"/>
        </w:rPr>
        <w:footnoteReference w:id="28"/>
      </w:r>
      <w:r>
        <w:t xml:space="preserve"> </w:t>
      </w:r>
      <w:r>
        <w:t xml:space="preserve">In any sizable estate it should be a group (</w:t>
      </w:r>
      <w:hyperlink r:id="rId29">
        <w:r>
          <w:rPr>
            <w:rStyle w:val="Hyperlink"/>
          </w:rPr>
          <w:t xml:space="preserve">Chapter 17</w:t>
        </w:r>
      </w:hyperlink>
      <w:r>
        <w:t xml:space="preserve">). On SQL Server 2025, the instance’s managed identity needs the Microsoft Graph application permissions</w:t>
      </w:r>
      <w:r>
        <w:t xml:space="preserve"> </w:t>
      </w:r>
      <w:r>
        <w:rPr>
          <w:rStyle w:val="VerbatimChar"/>
        </w:rPr>
        <w:t xml:space="preserve">User.Read.All</w:t>
      </w:r>
      <w:r>
        <w:t xml:space="preserve">,</w:t>
      </w:r>
      <w:r>
        <w:t xml:space="preserve"> </w:t>
      </w:r>
      <w:r>
        <w:rPr>
          <w:rStyle w:val="VerbatimChar"/>
        </w:rPr>
        <w:t xml:space="preserve">GroupMember.Read.All</w:t>
      </w:r>
      <w:r>
        <w:t xml:space="preserve"> </w:t>
      </w:r>
      <w:r>
        <w:t xml:space="preserve">and</w:t>
      </w:r>
      <w:r>
        <w:t xml:space="preserve"> </w:t>
      </w:r>
      <w:r>
        <w:rPr>
          <w:rStyle w:val="VerbatimChar"/>
        </w:rPr>
        <w:t xml:space="preserve">Application.Read.All</w:t>
      </w:r>
      <w:r>
        <w:t xml:space="preserve">, assigned directly to each identity; only a Privileged Role Administrator or higher can grant them. That is an identity-team step, not a DBA step.</w:t>
      </w:r>
      <w:r>
        <w:rPr>
          <w:rStyle w:val="FootnoteReference"/>
        </w:rPr>
        <w:footnoteReference w:id="30"/>
      </w:r>
      <w:r>
        <w:t xml:space="preserve"> </w:t>
      </w:r>
      <w:r>
        <w:t xml:space="preserve">Microsoft mentions the Directory Readers role as an alternative for many machines but doesn’t recommend it where least privilege is required.</w:t>
      </w:r>
      <w:r>
        <w:rPr>
          <w:rStyle w:val="FootnoteReference"/>
        </w:rPr>
        <w:footnoteReference w:id="32"/>
      </w:r>
      <w:r>
        <w:t xml:space="preserve"> </w:t>
      </w:r>
      <w:r>
        <w:t xml:space="preserve">Every Entra connection to SQL Server also requires an encrypted connection, so the instance needs a TLS certificate its clients trust.</w:t>
      </w:r>
      <w:r>
        <w:rPr>
          <w:rStyle w:val="FootnoteReference"/>
        </w:rPr>
        <w:footnoteReference w:id="33"/>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35" name="Picture"/>
                  <a:graphic>
                    <a:graphicData uri="http://schemas.openxmlformats.org/drawingml/2006/picture">
                      <pic:pic>
                        <pic:nvPicPr>
                          <pic:cNvPr descr="/opt/quarto/share/formats/docx/warning.png" id="36" name="Picture"/>
                          <pic:cNvPicPr>
                            <a:picLocks noChangeArrowheads="1" noChangeAspect="1"/>
                          </pic:cNvPicPr>
                        </pic:nvPicPr>
                        <pic:blipFill>
                          <a:blip r:embed="rId3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The T-SQL below is illustrative and hasn’t been tested against a production instance. Review it, and run it first in a non-production environment.</w:t>
            </w:r>
          </w:p>
          <w:p/>
        </w:tc>
      </w:tr>
    </w:tbl>
    <w:p>
      <w:pPr>
        <w:pStyle w:val="BodyText"/>
      </w:pPr>
      <w:r>
        <w:t xml:space="preserve"> </w:t>
      </w:r>
    </w:p>
    <w:p>
      <w:pPr>
        <w:pStyle w:val="SourceCode"/>
      </w:pPr>
      <w:r>
        <w:rPr>
          <w:rStyle w:val="CommentTok"/>
        </w:rPr>
        <w:t xml:space="preserve">-- Instance level: one login per Entra group</w:t>
      </w:r>
      <w:r>
        <w:br/>
      </w:r>
      <w:r>
        <w:rPr>
          <w:rStyle w:val="KeywordTok"/>
        </w:rPr>
        <w:t xml:space="preserve">CREATE</w:t>
      </w:r>
      <w:r>
        <w:rPr>
          <w:rStyle w:val="NormalTok"/>
        </w:rPr>
        <w:t xml:space="preserve"> LOGIN [SQL</w:t>
      </w:r>
      <w:r>
        <w:rPr>
          <w:rStyle w:val="OperatorTok"/>
        </w:rPr>
        <w:t xml:space="preserve">-</w:t>
      </w:r>
      <w:r>
        <w:rPr>
          <w:rStyle w:val="NormalTok"/>
        </w:rPr>
        <w:t xml:space="preserve">PRD</w:t>
      </w:r>
      <w:r>
        <w:rPr>
          <w:rStyle w:val="OperatorTok"/>
        </w:rPr>
        <w:t xml:space="preserve">-</w:t>
      </w:r>
      <w:r>
        <w:rPr>
          <w:rStyle w:val="NormalTok"/>
        </w:rPr>
        <w:t xml:space="preserve">FIN01</w:t>
      </w:r>
      <w:r>
        <w:rPr>
          <w:rStyle w:val="OperatorTok"/>
        </w:rPr>
        <w:t xml:space="preserve">-</w:t>
      </w:r>
      <w:r>
        <w:rPr>
          <w:rStyle w:val="NormalTok"/>
        </w:rPr>
        <w:t xml:space="preserve">Ledger</w:t>
      </w:r>
      <w:r>
        <w:rPr>
          <w:rStyle w:val="OperatorTok"/>
        </w:rPr>
        <w:t xml:space="preserve">-</w:t>
      </w:r>
      <w:r>
        <w:rPr>
          <w:rStyle w:val="NormalTok"/>
        </w:rPr>
        <w:t xml:space="preserve">Reader] </w:t>
      </w:r>
      <w:r>
        <w:rPr>
          <w:rStyle w:val="KeywordTok"/>
        </w:rPr>
        <w:t xml:space="preserve">FROM</w:t>
      </w:r>
      <w:r>
        <w:rPr>
          <w:rStyle w:val="NormalTok"/>
        </w:rPr>
        <w:t xml:space="preserve"> EXTERNAL PROVIDER;</w:t>
      </w:r>
      <w:r>
        <w:br/>
      </w:r>
      <w:r>
        <w:br/>
      </w:r>
      <w:r>
        <w:rPr>
          <w:rStyle w:val="CommentTok"/>
        </w:rPr>
        <w:t xml:space="preserve">-- Database level: the group becomes a member of exactly one role</w:t>
      </w:r>
      <w:r>
        <w:br/>
      </w:r>
      <w:r>
        <w:rPr>
          <w:rStyle w:val="KeywordTok"/>
        </w:rPr>
        <w:t xml:space="preserve">USE</w:t>
      </w:r>
      <w:r>
        <w:rPr>
          <w:rStyle w:val="NormalTok"/>
        </w:rPr>
        <w:t xml:space="preserve"> Ledger;</w:t>
      </w:r>
      <w:r>
        <w:br/>
      </w:r>
      <w:r>
        <w:rPr>
          <w:rStyle w:val="KeywordTok"/>
        </w:rPr>
        <w:t xml:space="preserve">CREATE</w:t>
      </w:r>
      <w:r>
        <w:rPr>
          <w:rStyle w:val="NormalTok"/>
        </w:rPr>
        <w:t xml:space="preserve"> </w:t>
      </w:r>
      <w:r>
        <w:rPr>
          <w:rStyle w:val="FunctionTok"/>
        </w:rPr>
        <w:t xml:space="preserve">USER</w:t>
      </w:r>
      <w:r>
        <w:rPr>
          <w:rStyle w:val="NormalTok"/>
        </w:rPr>
        <w:t xml:space="preserve"> [SQL</w:t>
      </w:r>
      <w:r>
        <w:rPr>
          <w:rStyle w:val="OperatorTok"/>
        </w:rPr>
        <w:t xml:space="preserve">-</w:t>
      </w:r>
      <w:r>
        <w:rPr>
          <w:rStyle w:val="NormalTok"/>
        </w:rPr>
        <w:t xml:space="preserve">PRD</w:t>
      </w:r>
      <w:r>
        <w:rPr>
          <w:rStyle w:val="OperatorTok"/>
        </w:rPr>
        <w:t xml:space="preserve">-</w:t>
      </w:r>
      <w:r>
        <w:rPr>
          <w:rStyle w:val="NormalTok"/>
        </w:rPr>
        <w:t xml:space="preserve">FIN01</w:t>
      </w:r>
      <w:r>
        <w:rPr>
          <w:rStyle w:val="OperatorTok"/>
        </w:rPr>
        <w:t xml:space="preserve">-</w:t>
      </w:r>
      <w:r>
        <w:rPr>
          <w:rStyle w:val="NormalTok"/>
        </w:rPr>
        <w:t xml:space="preserve">Ledger</w:t>
      </w:r>
      <w:r>
        <w:rPr>
          <w:rStyle w:val="OperatorTok"/>
        </w:rPr>
        <w:t xml:space="preserve">-</w:t>
      </w:r>
      <w:r>
        <w:rPr>
          <w:rStyle w:val="NormalTok"/>
        </w:rPr>
        <w:t xml:space="preserve">Reader] </w:t>
      </w:r>
      <w:r>
        <w:rPr>
          <w:rStyle w:val="KeywordTok"/>
        </w:rPr>
        <w:t xml:space="preserve">FROM</w:t>
      </w:r>
      <w:r>
        <w:rPr>
          <w:rStyle w:val="NormalTok"/>
        </w:rPr>
        <w:t xml:space="preserve"> LOGIN [SQL</w:t>
      </w:r>
      <w:r>
        <w:rPr>
          <w:rStyle w:val="OperatorTok"/>
        </w:rPr>
        <w:t xml:space="preserve">-</w:t>
      </w:r>
      <w:r>
        <w:rPr>
          <w:rStyle w:val="NormalTok"/>
        </w:rPr>
        <w:t xml:space="preserve">PRD</w:t>
      </w:r>
      <w:r>
        <w:rPr>
          <w:rStyle w:val="OperatorTok"/>
        </w:rPr>
        <w:t xml:space="preserve">-</w:t>
      </w:r>
      <w:r>
        <w:rPr>
          <w:rStyle w:val="NormalTok"/>
        </w:rPr>
        <w:t xml:space="preserve">FIN01</w:t>
      </w:r>
      <w:r>
        <w:rPr>
          <w:rStyle w:val="OperatorTok"/>
        </w:rPr>
        <w:t xml:space="preserve">-</w:t>
      </w:r>
      <w:r>
        <w:rPr>
          <w:rStyle w:val="NormalTok"/>
        </w:rPr>
        <w:t xml:space="preserve">Ledger</w:t>
      </w:r>
      <w:r>
        <w:rPr>
          <w:rStyle w:val="OperatorTok"/>
        </w:rPr>
        <w:t xml:space="preserve">-</w:t>
      </w:r>
      <w:r>
        <w:rPr>
          <w:rStyle w:val="NormalTok"/>
        </w:rPr>
        <w:t xml:space="preserve">Reader];</w:t>
      </w:r>
      <w:r>
        <w:br/>
      </w:r>
      <w:r>
        <w:rPr>
          <w:rStyle w:val="KeywordTok"/>
        </w:rPr>
        <w:t xml:space="preserve">ALTER</w:t>
      </w:r>
      <w:r>
        <w:rPr>
          <w:rStyle w:val="NormalTok"/>
        </w:rPr>
        <w:t xml:space="preserve"> </w:t>
      </w:r>
      <w:r>
        <w:rPr>
          <w:rStyle w:val="KeywordTok"/>
        </w:rPr>
        <w:t xml:space="preserve">ROLE</w:t>
      </w:r>
      <w:r>
        <w:rPr>
          <w:rStyle w:val="NormalTok"/>
        </w:rPr>
        <w:t xml:space="preserve"> ledger_reader </w:t>
      </w:r>
      <w:r>
        <w:rPr>
          <w:rStyle w:val="KeywordTok"/>
        </w:rPr>
        <w:t xml:space="preserve">ADD</w:t>
      </w:r>
      <w:r>
        <w:rPr>
          <w:rStyle w:val="NormalTok"/>
        </w:rPr>
        <w:t xml:space="preserve"> </w:t>
      </w:r>
      <w:r>
        <w:rPr>
          <w:rStyle w:val="KeywordTok"/>
        </w:rPr>
        <w:t xml:space="preserve">MEMBER</w:t>
      </w:r>
      <w:r>
        <w:rPr>
          <w:rStyle w:val="NormalTok"/>
        </w:rPr>
        <w:t xml:space="preserve"> [SQL</w:t>
      </w:r>
      <w:r>
        <w:rPr>
          <w:rStyle w:val="OperatorTok"/>
        </w:rPr>
        <w:t xml:space="preserve">-</w:t>
      </w:r>
      <w:r>
        <w:rPr>
          <w:rStyle w:val="NormalTok"/>
        </w:rPr>
        <w:t xml:space="preserve">PRD</w:t>
      </w:r>
      <w:r>
        <w:rPr>
          <w:rStyle w:val="OperatorTok"/>
        </w:rPr>
        <w:t xml:space="preserve">-</w:t>
      </w:r>
      <w:r>
        <w:rPr>
          <w:rStyle w:val="NormalTok"/>
        </w:rPr>
        <w:t xml:space="preserve">FIN01</w:t>
      </w:r>
      <w:r>
        <w:rPr>
          <w:rStyle w:val="OperatorTok"/>
        </w:rPr>
        <w:t xml:space="preserve">-</w:t>
      </w:r>
      <w:r>
        <w:rPr>
          <w:rStyle w:val="NormalTok"/>
        </w:rPr>
        <w:t xml:space="preserve">Ledger</w:t>
      </w:r>
      <w:r>
        <w:rPr>
          <w:rStyle w:val="OperatorTok"/>
        </w:rPr>
        <w:t xml:space="preserve">-</w:t>
      </w:r>
      <w:r>
        <w:rPr>
          <w:rStyle w:val="NormalTok"/>
        </w:rPr>
        <w:t xml:space="preserve">Reader];</w:t>
      </w:r>
    </w:p>
    <w:p>
      <w:pPr>
        <w:pStyle w:val="FirstParagraph"/>
      </w:pPr>
      <w:hyperlink r:id="rId15">
        <w:r>
          <w:rPr>
            <w:rStyle w:val="Hyperlink"/>
          </w:rPr>
          <w:t xml:space="preserve">Runbook R07</w:t>
        </w:r>
      </w:hyperlink>
      <w:r>
        <w:t xml:space="preserve"> </w:t>
      </w:r>
      <w:r>
        <w:t xml:space="preserve">carries the full procedure. Authorization inside the engine isn’t redesigned; only the principal changes.</w:t>
      </w:r>
    </w:p>
    <w:bookmarkEnd w:id="37"/>
    <w:bookmarkStart w:id="40" w:name="one-group-one-role"/>
    <w:p>
      <w:pPr>
        <w:pStyle w:val="Heading2"/>
      </w:pPr>
      <w:r>
        <w:t xml:space="preserve">One group, one role</w:t>
      </w:r>
    </w:p>
    <w:p>
      <w:pPr>
        <w:pStyle w:val="FirstParagraph"/>
      </w:pPr>
      <w:r>
        <w:t xml:space="preserve">The most consequential design decision in this part of the book is the simplest:</w:t>
      </w:r>
      <w:r>
        <w:t xml:space="preserve"> </w:t>
      </w:r>
      <w:r>
        <w:rPr>
          <w:b/>
          <w:bCs/>
        </w:rPr>
        <w:t xml:space="preserve">each Entra group grants exactly one role, on one database, in one environment.</w:t>
      </w:r>
      <w:r>
        <w:t xml:space="preserve"> </w:t>
      </w:r>
      <w:r>
        <w:t xml:space="preserve">A user who reads the ledger and runs the month-end job belongs to two groups.</w:t>
      </w:r>
    </w:p>
    <w:p>
      <w:pPr>
        <w:pStyle w:val="BodyText"/>
      </w:pPr>
      <w:r>
        <w:t xml:space="preserve">The rule pays off three ways. The group name fully states what it grants, so an access review can be answered without opening SQL Server Management Studio.</w:t>
      </w:r>
      <w:r>
        <w:rPr>
          <w:rStyle w:val="FootnoteReference"/>
        </w:rPr>
        <w:footnoteReference w:id="38"/>
      </w:r>
      <w:r>
        <w:t xml:space="preserve"> </w:t>
      </w:r>
      <w:r>
        <w:t xml:space="preserve">Revoking one capability never revokes another. And dynamic membership becomes tractable:</w:t>
      </w:r>
      <w:r>
        <w:t xml:space="preserve"> </w:t>
      </w:r>
      <w:r>
        <w:t xml:space="preserve">“who should read the ledger?”</w:t>
      </w:r>
      <w:r>
        <w:t xml:space="preserve"> </w:t>
      </w:r>
      <w:r>
        <w:t xml:space="preserve">can be written as a rule;</w:t>
      </w:r>
      <w:r>
        <w:t xml:space="preserve"> </w:t>
      </w:r>
      <w:r>
        <w:t xml:space="preserve">“whoever this legacy group happened to include”</w:t>
      </w:r>
      <w:r>
        <w:t xml:space="preserve"> </w:t>
      </w:r>
      <w:r>
        <w:t xml:space="preserve">can’t.</w:t>
      </w:r>
    </w:p>
    <w:p>
      <w:pPr>
        <w:pStyle w:val="BodyText"/>
      </w:pPr>
      <w:r>
        <w:t xml:space="preserve">Permissions go to user-defined database roles, never directly to group users, and</w:t>
      </w:r>
      <w:r>
        <w:t xml:space="preserve"> </w:t>
      </w:r>
      <w:r>
        <w:rPr>
          <w:rStyle w:val="VerbatimChar"/>
        </w:rPr>
        <w:t xml:space="preserve">db_owner</w:t>
      </w:r>
      <w:r>
        <w:t xml:space="preserve"> </w:t>
      </w:r>
      <w:r>
        <w:t xml:space="preserve">and</w:t>
      </w:r>
      <w:r>
        <w:t xml:space="preserve"> </w:t>
      </w:r>
      <w:r>
        <w:rPr>
          <w:rStyle w:val="VerbatimChar"/>
        </w:rPr>
        <w:t xml:space="preserve">sysadmin</w:t>
      </w:r>
      <w:r>
        <w:t xml:space="preserve"> </w:t>
      </w:r>
      <w:r>
        <w:t xml:space="preserve">are kept for the few who need them. Every legacy group mapped to</w:t>
      </w:r>
      <w:r>
        <w:t xml:space="preserve"> </w:t>
      </w:r>
      <w:r>
        <w:rPr>
          <w:rStyle w:val="VerbatimChar"/>
        </w:rPr>
        <w:t xml:space="preserve">db_owner</w:t>
      </w:r>
      <w:r>
        <w:t xml:space="preserve"> </w:t>
      </w:r>
      <w:r>
        <w:t xml:space="preserve">“because the application needed it”</w:t>
      </w:r>
      <w:r>
        <w:t xml:space="preserve"> </w:t>
      </w:r>
      <w:r>
        <w:t xml:space="preserve">is a finding to resolve before its replacement is created.</w:t>
      </w:r>
    </w:p>
    <w:bookmarkEnd w:id="40"/>
    <w:bookmarkStart w:id="49" w:name="flat-by-design"/>
    <w:p>
      <w:pPr>
        <w:pStyle w:val="Heading2"/>
      </w:pPr>
      <w:r>
        <w:t xml:space="preserve">Flat by design</w:t>
      </w:r>
    </w:p>
    <w:p>
      <w:pPr>
        <w:pStyle w:val="FirstParagraph"/>
      </w:pPr>
      <w:r>
        <w:t xml:space="preserve">AD estates are full of nested groups. Don’t rebuild that tree in Entra ID; the platform’s constraints point to a flat model.</w:t>
      </w:r>
    </w:p>
    <w:p>
      <w:pPr>
        <w:pStyle w:val="Compact"/>
        <w:numPr>
          <w:ilvl w:val="0"/>
          <w:numId w:val="1001"/>
        </w:numPr>
      </w:pPr>
      <w:r>
        <w:rPr>
          <w:b/>
          <w:bCs/>
        </w:rPr>
        <w:t xml:space="preserve">Dynamic groups can’t contain groups.</w:t>
      </w:r>
      <w:r>
        <w:t xml:space="preserve"> </w:t>
      </w:r>
      <w:r>
        <w:t xml:space="preserve">A dynamic rule selects users or devices by attribute, never other groups.</w:t>
      </w:r>
      <w:r>
        <w:rPr>
          <w:rStyle w:val="FootnoteReference"/>
        </w:rPr>
        <w:footnoteReference w:id="41"/>
      </w:r>
    </w:p>
    <w:p>
      <w:pPr>
        <w:pStyle w:val="Compact"/>
        <w:numPr>
          <w:ilvl w:val="0"/>
          <w:numId w:val="1001"/>
        </w:numPr>
      </w:pPr>
      <w:r>
        <w:rPr>
          <w:b/>
          <w:bCs/>
        </w:rPr>
        <w:t xml:space="preserve">The</w:t>
      </w:r>
      <w:r>
        <w:rPr>
          <w:b/>
          <w:bCs/>
        </w:rPr>
        <w:t xml:space="preserve"> </w:t>
      </w:r>
      <w:r>
        <w:rPr>
          <w:rStyle w:val="VerbatimChar"/>
          <w:b/>
          <w:bCs/>
        </w:rPr>
        <w:t xml:space="preserve">memberOf</w:t>
      </w:r>
      <w:r>
        <w:rPr>
          <w:b/>
          <w:bCs/>
        </w:rPr>
        <w:t xml:space="preserve"> </w:t>
      </w:r>
      <w:r>
        <w:rPr>
          <w:b/>
          <w:bCs/>
        </w:rPr>
        <w:t xml:space="preserve">operator is ending.</w:t>
      </w:r>
      <w:r>
        <w:t xml:space="preserve"> </w:t>
      </w:r>
      <w:r>
        <w:t xml:space="preserve">It was the preview workaround for building a dynamic group from other groups. Microsoft has announced that its public preview ends on November 3, 2026. After that date, groups that use it stop updating and stay in their last known state, and Microsoft says to remove or replace every use before then.</w:t>
      </w:r>
      <w:r>
        <w:rPr>
          <w:rStyle w:val="FootnoteReference"/>
        </w:rPr>
        <w:footnoteReference w:id="43"/>
      </w:r>
    </w:p>
    <w:p>
      <w:pPr>
        <w:pStyle w:val="Compact"/>
        <w:numPr>
          <w:ilvl w:val="0"/>
          <w:numId w:val="1001"/>
        </w:numPr>
      </w:pPr>
      <w:r>
        <w:rPr>
          <w:b/>
          <w:bCs/>
        </w:rPr>
        <w:t xml:space="preserve">Role-assignable groups can’t nest.</w:t>
      </w:r>
      <w:r>
        <w:t xml:space="preserve"> </w:t>
      </w:r>
      <w:r>
        <w:t xml:space="preserve">These are the groups with the strongest protection against privilege escalation, and a group can’t be added as a member of one.</w:t>
      </w:r>
      <w:r>
        <w:rPr>
          <w:rStyle w:val="FootnoteReference"/>
        </w:rPr>
        <w:footnoteReference w:id="45"/>
      </w:r>
    </w:p>
    <w:p>
      <w:pPr>
        <w:pStyle w:val="Compact"/>
        <w:numPr>
          <w:ilvl w:val="0"/>
          <w:numId w:val="1001"/>
        </w:numPr>
      </w:pPr>
      <w:r>
        <w:rPr>
          <w:b/>
          <w:bCs/>
        </w:rPr>
        <w:t xml:space="preserve">Group claims are capped.</w:t>
      </w:r>
      <w:r>
        <w:t xml:space="preserve"> </w:t>
      </w:r>
      <w:r>
        <w:t xml:space="preserve">Applications that read group membership straight from the token get at most 200 groups in a JWT (150 in a SAML assertion), counting nested groups; above that they receive an overage indicator and must query Microsoft Graph instead.</w:t>
      </w:r>
      <w:r>
        <w:rPr>
          <w:rStyle w:val="FootnoteReference"/>
        </w:rPr>
        <w:footnoteReference w:id="47"/>
      </w:r>
    </w:p>
    <w:p>
      <w:pPr>
        <w:pStyle w:val="Compact"/>
        <w:numPr>
          <w:ilvl w:val="0"/>
          <w:numId w:val="1001"/>
        </w:numPr>
      </w:pPr>
      <w:r>
        <w:rPr>
          <w:b/>
          <w:bCs/>
        </w:rPr>
        <w:t xml:space="preserve">Nested-group evaluation isn’t documented for SQL Server.</w:t>
      </w:r>
      <w:r>
        <w:t xml:space="preserve"> </w:t>
      </w:r>
      <w:r>
        <w:t xml:space="preserve">Microsoft’s SQL Server documentation doesn’t describe how nested Entra group membership is evaluated for an on-premises instance’s group logins. This is the program’s reading of the documentation, not a Microsoft statement.</w:t>
      </w:r>
    </w:p>
    <w:p>
      <w:pPr>
        <w:pStyle w:val="FirstParagraph"/>
      </w:pPr>
      <w:r>
        <w:t xml:space="preserve">Nesting builds on behavior that is unsupported, ending or undocumented. A flat model costs a few more groups and gives up nothing: each role-mapped group lists members directly, by rule or assignment, and several populations needing one role share one rule. Where a nested chain is unavoidable, test it on the target instance version first.</w:t>
      </w:r>
    </w:p>
    <w:bookmarkEnd w:id="49"/>
    <w:bookmarkStart w:id="60" w:name="when-a-change-takes-effect"/>
    <w:p>
      <w:pPr>
        <w:pStyle w:val="Heading2"/>
      </w:pPr>
      <w:r>
        <w:t xml:space="preserve">When a change takes effect</w:t>
      </w:r>
    </w:p>
    <w:p>
      <w:pPr>
        <w:pStyle w:val="CaptionedFigure"/>
      </w:pPr>
      <w:r>
        <w:drawing>
          <wp:inline>
            <wp:extent cx="5334000" cy="2349418"/>
            <wp:effectExtent b="0" l="0" r="0" t="0"/>
            <wp:docPr descr="The chain between an HR change and the engine, and the urgent path that doesn’t wait for it." title="" id="51" name="Picture"/>
            <a:graphic>
              <a:graphicData uri="http://schemas.openxmlformats.org/drawingml/2006/picture">
                <pic:pic>
                  <pic:nvPicPr>
                    <pic:cNvPr descr="../../images/sql-server/diagrams/svg/book-07-ch01-when-a-change-takes-effect.svg" id="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0"/>
                        </a:ext>
                      </a:extLst>
                    </a:blip>
                    <a:stretch>
                      <a:fillRect/>
                    </a:stretch>
                  </pic:blipFill>
                  <pic:spPr bwMode="auto">
                    <a:xfrm>
                      <a:off x="0" y="0"/>
                      <a:ext cx="5334000" cy="2349418"/>
                    </a:xfrm>
                    <a:prstGeom prst="rect">
                      <a:avLst/>
                    </a:prstGeom>
                    <a:noFill/>
                    <a:ln w="9525">
                      <a:noFill/>
                      <a:headEnd/>
                      <a:tailEnd/>
                    </a:ln>
                  </pic:spPr>
                </pic:pic>
              </a:graphicData>
            </a:graphic>
          </wp:inline>
        </w:drawing>
      </w:r>
    </w:p>
    <w:p>
      <w:pPr>
        <w:pStyle w:val="ImageCaption"/>
      </w:pPr>
      <w:r>
        <w:t xml:space="preserve">The chain between an HR change and the engine, and the urgent path that doesn’t wait for it.</w:t>
      </w:r>
    </w:p>
    <w:p>
      <w:pPr>
        <w:pStyle w:val="BodyText"/>
      </w:pPr>
      <w:r>
        <w:t xml:space="preserve">Under Windows Authentication a membership change arrived with the next Kerberos ticket, usually the next logon. The Entra chain is longer:</w:t>
      </w:r>
    </w:p>
    <w:p>
      <w:pPr>
        <w:pStyle w:val="Compact"/>
        <w:numPr>
          <w:ilvl w:val="0"/>
          <w:numId w:val="1002"/>
        </w:numPr>
      </w:pPr>
      <w:r>
        <w:rPr>
          <w:b/>
          <w:bCs/>
        </w:rPr>
        <w:t xml:space="preserve">Rule processing.</w:t>
      </w:r>
      <w:r>
        <w:t xml:space="preserve"> </w:t>
      </w:r>
      <w:r>
        <w:t xml:space="preserve">A dynamic group is recalculated when a relevant attribute changes. Microsoft documents that changes are usually processed within a few hours, but that processing can take more than 24 hours depending on tenant size, the number of changes, rule complexity and operator choice.</w:t>
      </w:r>
      <w:r>
        <w:rPr>
          <w:rStyle w:val="FootnoteReference"/>
        </w:rPr>
        <w:footnoteReference w:id="53"/>
      </w:r>
    </w:p>
    <w:p>
      <w:pPr>
        <w:pStyle w:val="Compact"/>
        <w:numPr>
          <w:ilvl w:val="0"/>
          <w:numId w:val="1002"/>
        </w:numPr>
      </w:pPr>
      <w:r>
        <w:rPr>
          <w:b/>
          <w:bCs/>
        </w:rPr>
        <w:t xml:space="preserve">Token lifetime.</w:t>
      </w:r>
      <w:r>
        <w:t xml:space="preserve"> </w:t>
      </w:r>
      <w:r>
        <w:t xml:space="preserve">An access token already issued to the user stays valid until it expires. By default that’s a random value between 60 and 90 minutes.</w:t>
      </w:r>
      <w:r>
        <w:rPr>
          <w:rStyle w:val="FootnoteReference"/>
        </w:rPr>
        <w:footnoteReference w:id="55"/>
      </w:r>
    </w:p>
    <w:p>
      <w:pPr>
        <w:pStyle w:val="Compact"/>
        <w:numPr>
          <w:ilvl w:val="0"/>
          <w:numId w:val="1002"/>
        </w:numPr>
      </w:pPr>
      <w:r>
        <w:rPr>
          <w:b/>
          <w:bCs/>
        </w:rPr>
        <w:t xml:space="preserve">Session and pool lifetime.</w:t>
      </w:r>
      <w:r>
        <w:t xml:space="preserve"> </w:t>
      </w:r>
      <w:r>
        <w:t xml:space="preserve">An open SQL Server session keeps the security context it was established with. A connection pool can keep that session open for hours.</w:t>
      </w:r>
    </w:p>
    <w:p>
      <w:pPr>
        <w:pStyle w:val="FirstParagraph"/>
      </w:pPr>
      <w:r>
        <w:t xml:space="preserve">That latency is acceptable for routine joiners, movers and leavers, and often beats the ticket queue it replaces. Urgent removal doesn’t wait for a rule. Disable the Entra account and revoke the user’s sessions, which Microsoft lists as the two Entra steps for revoking access; then end the user’s SQL Server sessions (</w:t>
      </w:r>
      <w:r>
        <w:rPr>
          <w:rStyle w:val="VerbatimChar"/>
        </w:rPr>
        <w:t xml:space="preserve">KILL</w:t>
      </w:r>
      <w:r>
        <w:t xml:space="preserve">, or disable the individual or group login if the threat is broader).</w:t>
      </w:r>
      <w:r>
        <w:rPr>
          <w:rStyle w:val="FootnoteReference"/>
        </w:rPr>
        <w:footnoteReference w:id="57"/>
      </w:r>
      <w:r>
        <w:t xml:space="preserve"> </w:t>
      </w:r>
      <w:r>
        <w:t xml:space="preserve">Microsoft also notes that an access token already issued can outlive the revocation for up to its lifetime, which is why the SQL step is needed.</w:t>
      </w:r>
      <w:r>
        <w:rPr>
          <w:rStyle w:val="FootnoteReference"/>
        </w:rPr>
        <w:footnoteReference w:id="59"/>
      </w:r>
      <w:r>
        <w:t xml:space="preserve"> </w:t>
      </w:r>
      <w:r>
        <w:t xml:space="preserve">Write this path into the operations runbook before the first dynamic group grants production access.</w:t>
      </w:r>
    </w:p>
    <w:bookmarkEnd w:id="60"/>
    <w:bookmarkStart w:id="61" w:name="migrating-the-four-ad-group-patterns"/>
    <w:p>
      <w:pPr>
        <w:pStyle w:val="Heading2"/>
      </w:pPr>
      <w:r>
        <w:t xml:space="preserve">Migrating the four AD group patterns</w:t>
      </w:r>
    </w:p>
    <w:p>
      <w:pPr>
        <w:pStyle w:val="FirstParagraph"/>
      </w:pPr>
      <w:r>
        <w:t xml:space="preserve">Groups in a long-lived SQL Server estate fall into four patterns:</w:t>
      </w:r>
    </w:p>
    <w:p>
      <w:pPr>
        <w:pStyle w:val="Compact"/>
        <w:numPr>
          <w:ilvl w:val="0"/>
          <w:numId w:val="1003"/>
        </w:numPr>
      </w:pPr>
      <w:r>
        <w:rPr>
          <w:b/>
          <w:bCs/>
        </w:rPr>
        <w:t xml:space="preserve">Organization-derived access groups</w:t>
      </w:r>
      <w:r>
        <w:t xml:space="preserve">, kept in step with the org chart by hand, become</w:t>
      </w:r>
      <w:r>
        <w:t xml:space="preserve"> </w:t>
      </w:r>
      <w:r>
        <w:rPr>
          <w:b/>
          <w:bCs/>
        </w:rPr>
        <w:t xml:space="preserve">dynamic</w:t>
      </w:r>
      <w:r>
        <w:t xml:space="preserve"> </w:t>
      </w:r>
      <w:r>
        <w:t xml:space="preserve">groups whose rules read HR-maintained attributes such as</w:t>
      </w:r>
      <w:r>
        <w:t xml:space="preserve"> </w:t>
      </w:r>
      <w:r>
        <w:rPr>
          <w:rStyle w:val="VerbatimChar"/>
        </w:rPr>
        <w:t xml:space="preserve">department</w:t>
      </w:r>
      <w:r>
        <w:t xml:space="preserve">,</w:t>
      </w:r>
      <w:r>
        <w:t xml:space="preserve"> </w:t>
      </w:r>
      <w:r>
        <w:rPr>
          <w:rStyle w:val="VerbatimChar"/>
        </w:rPr>
        <w:t xml:space="preserve">companyName</w:t>
      </w:r>
      <w:r>
        <w:t xml:space="preserve">,</w:t>
      </w:r>
      <w:r>
        <w:t xml:space="preserve"> </w:t>
      </w:r>
      <w:r>
        <w:rPr>
          <w:rStyle w:val="VerbatimChar"/>
        </w:rPr>
        <w:t xml:space="preserve">jobTitle</w:t>
      </w:r>
      <w:r>
        <w:t xml:space="preserve">, an</w:t>
      </w:r>
      <w:r>
        <w:t xml:space="preserve"> </w:t>
      </w:r>
      <w:r>
        <w:rPr>
          <w:rStyle w:val="VerbatimChar"/>
        </w:rPr>
        <w:t xml:space="preserve">extensionAttribute</w:t>
      </w:r>
      <w:r>
        <w:t xml:space="preserve">, or a directory extension property (</w:t>
      </w:r>
      <w:hyperlink r:id="rId29">
        <w:r>
          <w:rPr>
            <w:rStyle w:val="Hyperlink"/>
          </w:rPr>
          <w:t xml:space="preserve">Chapter 17</w:t>
        </w:r>
      </w:hyperlink>
      <w:r>
        <w:t xml:space="preserve">).</w:t>
      </w:r>
    </w:p>
    <w:p>
      <w:pPr>
        <w:pStyle w:val="Compact"/>
        <w:numPr>
          <w:ilvl w:val="0"/>
          <w:numId w:val="1003"/>
        </w:numPr>
      </w:pPr>
      <w:r>
        <w:rPr>
          <w:b/>
          <w:bCs/>
        </w:rPr>
        <w:t xml:space="preserve">Explicit role-assignment groups</w:t>
      </w:r>
      <w:r>
        <w:t xml:space="preserve"> </w:t>
      </w:r>
      <w:r>
        <w:t xml:space="preserve">such as</w:t>
      </w:r>
      <w:r>
        <w:t xml:space="preserve"> </w:t>
      </w:r>
      <w:r>
        <w:rPr>
          <w:rStyle w:val="VerbatimChar"/>
        </w:rPr>
        <w:t xml:space="preserve">PROD-SQL-SYSADMIN</w:t>
      </w:r>
      <w:r>
        <w:t xml:space="preserve"> </w:t>
      </w:r>
      <w:r>
        <w:t xml:space="preserve">reflect specific people given a specific permission, so no rule should define them. They become flattened</w:t>
      </w:r>
      <w:r>
        <w:t xml:space="preserve"> </w:t>
      </w:r>
      <w:r>
        <w:rPr>
          <w:b/>
          <w:bCs/>
        </w:rPr>
        <w:t xml:space="preserve">assigned</w:t>
      </w:r>
      <w:r>
        <w:t xml:space="preserve"> </w:t>
      </w:r>
      <w:r>
        <w:t xml:space="preserve">groups managed by a delegated administrator or, for privileged roles, PIM (</w:t>
      </w:r>
      <w:hyperlink r:id="rId29">
        <w:r>
          <w:rPr>
            <w:rStyle w:val="Hyperlink"/>
          </w:rPr>
          <w:t xml:space="preserve">Chapter 17</w:t>
        </w:r>
      </w:hyperlink>
      <w:r>
        <w:t xml:space="preserve">).</w:t>
      </w:r>
    </w:p>
    <w:p>
      <w:pPr>
        <w:pStyle w:val="Compact"/>
        <w:numPr>
          <w:ilvl w:val="0"/>
          <w:numId w:val="1003"/>
        </w:numPr>
      </w:pPr>
      <w:r>
        <w:rPr>
          <w:b/>
          <w:bCs/>
        </w:rPr>
        <w:t xml:space="preserve">Distribution lists</w:t>
      </w:r>
      <w:r>
        <w:t xml:space="preserve"> </w:t>
      </w:r>
      <w:r>
        <w:t xml:space="preserve">for SQL Server Agent notifications become mail-only groups; the operator address is updated and no login is created.</w:t>
      </w:r>
    </w:p>
    <w:p>
      <w:pPr>
        <w:pStyle w:val="Compact"/>
        <w:numPr>
          <w:ilvl w:val="0"/>
          <w:numId w:val="1003"/>
        </w:numPr>
      </w:pPr>
      <w:r>
        <w:rPr>
          <w:b/>
          <w:bCs/>
        </w:rPr>
        <w:t xml:space="preserve">Mail-enabled security groups</w:t>
      </w:r>
      <w:r>
        <w:t xml:space="preserve"> </w:t>
      </w:r>
      <w:r>
        <w:t xml:space="preserve">split into a mail-only group and an assigned security group, with the pairing recorded in both descriptions and the migration record.</w:t>
      </w:r>
    </w:p>
    <w:bookmarkEnd w:id="61"/>
    <w:bookmarkStart w:id="76" w:name="X6698b83cb7ff9872efbdad97cc788427b8fc0b4"/>
    <w:p>
      <w:pPr>
        <w:pStyle w:val="Heading2"/>
      </w:pPr>
      <w:r>
        <w:t xml:space="preserve">Conditional Access as the outer perimeter</w:t>
      </w:r>
    </w:p>
    <w:p>
      <w:pPr>
        <w:pStyle w:val="FirstParagraph"/>
      </w:pPr>
      <w:r>
        <w:t xml:space="preserve">Once every login is Entra-backed, every user connection needs a token, and every user token request passes Conditional Access. Conditional Access is Microsoft’s policy engine for those requests: a policy can block a sign-in or require multifactor authentication, a compliant device or a particular location, and it can act on sign-in risk from Microsoft Entra ID Protection.</w:t>
      </w:r>
      <w:r>
        <w:rPr>
          <w:rStyle w:val="FootnoteReference"/>
        </w:rPr>
        <w:footnoteReference w:id="62"/>
      </w:r>
      <w:r>
        <w:rPr>
          <w:rStyle w:val="FootnoteReference"/>
        </w:rPr>
        <w:footnoteReference w:id="64"/>
      </w:r>
      <w:r>
        <w:t xml:space="preserve"> </w:t>
      </w:r>
      <w:r>
        <w:t xml:space="preserve">A non-compliant device, a sign-in outside named locations or a high-risk sign-in is refused a token, so the connection never opens.</w:t>
      </w:r>
    </w:p>
    <w:p>
      <w:pPr>
        <w:pStyle w:val="BodyText"/>
      </w:pPr>
      <w:r>
        <w:t xml:space="preserve">Application identities are a different case. Conditional Access policies scoped to users don’t block service principals. Conditional Access for workload identities covers only single-tenant service principals registered in the tenant, needs Workload ID Premium licenses, and doesn’t cover managed identities at all.</w:t>
      </w:r>
      <w:r>
        <w:rPr>
          <w:rStyle w:val="FootnoteReference"/>
        </w:rPr>
        <w:footnoteReference w:id="66"/>
      </w:r>
      <w:r>
        <w:t xml:space="preserve"> </w:t>
      </w:r>
      <w:r>
        <w:t xml:space="preserve">For managed identities the perimeter is who can request the host’s token, Azure role assignments and access reviews, which</w:t>
      </w:r>
      <w:r>
        <w:t xml:space="preserve"> </w:t>
      </w:r>
      <w:hyperlink r:id="rId68">
        <w:r>
          <w:rPr>
            <w:rStyle w:val="Hyperlink"/>
          </w:rPr>
          <w:t xml:space="preserve">Chapter 19</w:t>
        </w:r>
      </w:hyperlink>
      <w:r>
        <w:t xml:space="preserve"> </w:t>
      </w:r>
      <w:r>
        <w:t xml:space="preserve">and</w:t>
      </w:r>
      <w:r>
        <w:t xml:space="preserve"> </w:t>
      </w:r>
      <w:hyperlink r:id="rId29">
        <w:r>
          <w:rPr>
            <w:rStyle w:val="Hyperlink"/>
          </w:rPr>
          <w:t xml:space="preserve">Chapter 17</w:t>
        </w:r>
      </w:hyperlink>
      <w:r>
        <w:t xml:space="preserve"> </w:t>
      </w:r>
      <w:r>
        <w:t xml:space="preserve">cover.</w:t>
      </w:r>
    </w:p>
    <w:p>
      <w:pPr>
        <w:pStyle w:val="BodyText"/>
      </w:pPr>
      <w:r>
        <w:t xml:space="preserve">None of this reaches a Windows or SQL-authenticated login, so for people the perimeter is binary: one surviving Windows login bypasses every policy. Privileged-access workstations, bastions, segmentation and vaulting are legitimate interim controls, but none evaluates identity, device and risk per connection.</w:t>
      </w:r>
      <w:r>
        <w:t xml:space="preserve"> </w:t>
      </w:r>
      <w:hyperlink r:id="rId69">
        <w:r>
          <w:rPr>
            <w:rStyle w:val="Hyperlink"/>
          </w:rPr>
          <w:t xml:space="preserve">Chapter 12</w:t>
        </w:r>
      </w:hyperlink>
      <w:r>
        <w:t xml:space="preserve"> </w:t>
      </w:r>
      <w:r>
        <w:t xml:space="preserve">therefore treats each surviving legacy login as a documented, sunset-dated exception.</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0" name="Picture"/>
                  <a:graphic>
                    <a:graphicData uri="http://schemas.openxmlformats.org/drawingml/2006/picture">
                      <pic:pic>
                        <pic:nvPicPr>
                          <pic:cNvPr descr="/opt/quarto/share/formats/docx/note.png" id="7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4"/>
              </w:numPr>
            </w:pPr>
            <w:r>
              <w:t xml:space="preserve">An Entra group reaches SQL Server as a type X login and grants exactly one role, on one database, in one environment.</w:t>
            </w:r>
          </w:p>
          <w:p>
            <w:pPr>
              <w:pStyle w:val="Compact"/>
              <w:numPr>
                <w:ilvl w:val="0"/>
                <w:numId w:val="1004"/>
              </w:numPr>
            </w:pPr>
            <w:r>
              <w:t xml:space="preserve">The group model stays flat, and membership changes reach the engine only after rule processing, token expiry and session turnover, so urgent removal needs its own runbook.</w:t>
            </w:r>
          </w:p>
          <w:p>
            <w:pPr>
              <w:pStyle w:val="Compact"/>
              <w:numPr>
                <w:ilvl w:val="0"/>
                <w:numId w:val="1004"/>
              </w:numPr>
            </w:pPr>
            <w:r>
              <w:t xml:space="preserve">Each kind of AD group maps to a specific Entra replacement. Conditional Access then sits in front of every user login; managed identities need other controls.</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72" name="Picture"/>
                  <a:graphic>
                    <a:graphicData uri="http://schemas.openxmlformats.org/drawingml/2006/picture">
                      <pic:pic>
                        <pic:nvPicPr>
                          <pic:cNvPr descr="/opt/quarto/share/formats/docx/tip.png" id="73"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74">
              <w:r>
                <w:rPr>
                  <w:rStyle w:val="Hyperlink"/>
                </w:rPr>
                <w:t xml:space="preserve">← Previous: Chapter 15 — The Three Phases of NTLM Elimination for SQL Server</w:t>
              </w:r>
            </w:hyperlink>
            <w:r>
              <w:t xml:space="preserve"> </w:t>
            </w:r>
            <w:r>
              <w:t xml:space="preserve">·</w:t>
            </w:r>
            <w:r>
              <w:t xml:space="preserve"> </w:t>
            </w:r>
            <w:hyperlink r:id="rId75">
              <w:r>
                <w:rPr>
                  <w:rStyle w:val="Hyperlink"/>
                </w:rPr>
                <w:t xml:space="preserve">Book index</w:t>
              </w:r>
            </w:hyperlink>
            <w:r>
              <w:t xml:space="preserve"> </w:t>
            </w:r>
            <w:r>
              <w:t xml:space="preserve">·</w:t>
            </w:r>
            <w:r>
              <w:t xml:space="preserve"> </w:t>
            </w:r>
            <w:hyperlink r:id="rId29">
              <w:r>
                <w:rPr>
                  <w:rStyle w:val="Hyperlink"/>
                </w:rPr>
                <w:t xml:space="preserve">Next: Chapter 17 — Dynamic Membership, Delegation and Privileged Access →</w:t>
              </w:r>
            </w:hyperlink>
          </w:p>
          <w:p/>
        </w:tc>
      </w:tr>
    </w:tbl>
    <w:bookmarkEnd w:id="76"/>
    <w:bookmarkEnd w:id="7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4">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section</w:t>
      </w:r>
      <w:r>
        <w:t xml:space="preserve"> </w:t>
      </w:r>
      <w:r>
        <w:t xml:space="preserve">“Create logins and users,”</w:t>
      </w:r>
      <w:r>
        <w:t xml:space="preserve"> </w:t>
      </w:r>
      <w:hyperlink r:id="rId25">
        <w:r>
          <w:rPr>
            <w:rStyle w:val="Hyperlink"/>
          </w:rPr>
          <w:t xml:space="preserve">https://learn.microsoft.com/sql/sql-server/azure-arc/entra-authentication-setup-tutorial</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section</w:t>
      </w:r>
      <w:r>
        <w:t xml:space="preserve"> </w:t>
      </w:r>
      <w:r>
        <w:t xml:space="preserve">“Create logins and users,”</w:t>
      </w:r>
      <w:r>
        <w:t xml:space="preserve"> </w:t>
      </w:r>
      <w:hyperlink r:id="rId25">
        <w:r>
          <w:rPr>
            <w:rStyle w:val="Hyperlink"/>
          </w:rPr>
          <w:t xml:space="preserve">https://learn.microsoft.com/sql/sql-server/azure-arc/entra-authentication-setup-tutorial</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section</w:t>
      </w:r>
      <w:r>
        <w:t xml:space="preserve"> </w:t>
      </w:r>
      <w:r>
        <w:t xml:space="preserve">“Create logins and users,”</w:t>
      </w:r>
      <w:r>
        <w:t xml:space="preserve"> </w:t>
      </w:r>
      <w:hyperlink r:id="rId25">
        <w:r>
          <w:rPr>
            <w:rStyle w:val="Hyperlink"/>
          </w:rPr>
          <w:t xml:space="preserve">https://learn.microsoft.com/sql/sql-server/azure-arc/entra-authentication-setup-tutorial</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“Set up managed identity and Microsoft Entra authentication for SQL Server enabled by Azure Arc,”</w:t>
      </w:r>
      <w:r>
        <w:t xml:space="preserve"> </w:t>
      </w:r>
      <w:r>
        <w:t xml:space="preserve">section</w:t>
      </w:r>
      <w:r>
        <w:t xml:space="preserve"> </w:t>
      </w:r>
      <w:r>
        <w:t xml:space="preserve">“Grant application permissions to the identity,”</w:t>
      </w:r>
      <w:r>
        <w:t xml:space="preserve"> </w:t>
      </w:r>
      <w:hyperlink r:id="rId31">
        <w:r>
          <w:rPr>
            <w:rStyle w:val="Hyperlink"/>
          </w:rPr>
          <w:t xml:space="preserve">https://learn.microsoft.com/sql/sql-server/azure-arc/microsoft-entra-authentication-with-managed-identity</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“Set up managed identity and Microsoft Entra authentication for SQL Server enabled by Azure Arc,”</w:t>
      </w:r>
      <w:r>
        <w:t xml:space="preserve"> </w:t>
      </w:r>
      <w:r>
        <w:t xml:space="preserve">section</w:t>
      </w:r>
      <w:r>
        <w:t xml:space="preserve"> </w:t>
      </w:r>
      <w:r>
        <w:t xml:space="preserve">“Grant application permissions to the identity,”</w:t>
      </w:r>
      <w:r>
        <w:t xml:space="preserve"> </w:t>
      </w:r>
      <w:hyperlink r:id="rId31">
        <w:r>
          <w:rPr>
            <w:rStyle w:val="Hyperlink"/>
          </w:rPr>
          <w:t xml:space="preserve">https://learn.microsoft.com/sql/sql-server/azure-arc/microsoft-entra-authentication-with-managed-identity</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section</w:t>
      </w:r>
      <w:r>
        <w:t xml:space="preserve"> </w:t>
      </w:r>
      <w:r>
        <w:t xml:space="preserve">“Create logins and users,”</w:t>
      </w:r>
      <w:r>
        <w:t xml:space="preserve"> </w:t>
      </w:r>
      <w:hyperlink r:id="rId25">
        <w:r>
          <w:rPr>
            <w:rStyle w:val="Hyperlink"/>
          </w:rPr>
          <w:t xml:space="preserve">https://learn.microsoft.com/sql/sql-server/azure-arc/entra-authentication-setup-tutorial</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“What are access reviews?,”</w:t>
      </w:r>
      <w:r>
        <w:t xml:space="preserve"> </w:t>
      </w:r>
      <w:hyperlink r:id="rId39">
        <w:r>
          <w:rPr>
            <w:rStyle w:val="Hyperlink"/>
          </w:rPr>
          <w:t xml:space="preserve">https://learn.microsoft.com/entra/id-governance/access-reviews-overview</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42">
        <w:r>
          <w:rPr>
            <w:rStyle w:val="Hyperlink"/>
          </w:rPr>
          <w:t xml:space="preserve">https://learn.microsoft.com/entra/identity/users/groups-dynamic-membership</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“Configure dynamic membership groups with the memberOf operator in the Entra Admin Center (preview),”</w:t>
      </w:r>
      <w:r>
        <w:t xml:space="preserve"> </w:t>
      </w:r>
      <w:hyperlink r:id="rId44">
        <w:r>
          <w:rPr>
            <w:rStyle w:val="Hyperlink"/>
          </w:rPr>
          <w:t xml:space="preserve">https://learn.microsoft.com/entra/identity/users/groups-dynamic-rule-member-of</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“Use Microsoft Entra groups to manage role assignments,”</w:t>
      </w:r>
      <w:r>
        <w:t xml:space="preserve"> </w:t>
      </w:r>
      <w:r>
        <w:t xml:space="preserve">section</w:t>
      </w:r>
      <w:r>
        <w:t xml:space="preserve"> </w:t>
      </w:r>
      <w:r>
        <w:t xml:space="preserve">“How are role-assignable groups protected?,”</w:t>
      </w:r>
      <w:r>
        <w:t xml:space="preserve"> </w:t>
      </w:r>
      <w:hyperlink r:id="rId46">
        <w:r>
          <w:rPr>
            <w:rStyle w:val="Hyperlink"/>
          </w:rPr>
          <w:t xml:space="preserve">https://learn.microsoft.com/entra/identity/role-based-access-control/groups-concept</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“Configure group claims for applications by using Microsoft Entra ID,”</w:t>
      </w:r>
      <w:r>
        <w:t xml:space="preserve"> </w:t>
      </w:r>
      <w:hyperlink r:id="rId48">
        <w:r>
          <w:rPr>
            <w:rStyle w:val="Hyperlink"/>
          </w:rPr>
          <w:t xml:space="preserve">https://learn.microsoft.com/entra/identity/hybrid/connect/how-to-connect-fed-group-claims</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“Understand and manage dynamic group processing in Microsoft Entra ID,”</w:t>
      </w:r>
      <w:r>
        <w:t xml:space="preserve"> </w:t>
      </w:r>
      <w:hyperlink r:id="rId54">
        <w:r>
          <w:rPr>
            <w:rStyle w:val="Hyperlink"/>
          </w:rPr>
          <w:t xml:space="preserve">https://learn.microsoft.com/entra/identity/users/manage-dynamic-group</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“Access tokens in the Microsoft identity platform,”</w:t>
      </w:r>
      <w:r>
        <w:t xml:space="preserve"> </w:t>
      </w:r>
      <w:r>
        <w:t xml:space="preserve">section</w:t>
      </w:r>
      <w:r>
        <w:t xml:space="preserve"> </w:t>
      </w:r>
      <w:r>
        <w:t xml:space="preserve">“Token lifetime,”</w:t>
      </w:r>
      <w:r>
        <w:t xml:space="preserve"> </w:t>
      </w:r>
      <w:hyperlink r:id="rId56">
        <w:r>
          <w:rPr>
            <w:rStyle w:val="Hyperlink"/>
          </w:rPr>
          <w:t xml:space="preserve">https://learn.microsoft.com/entra/identity-platform/access-tokens</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“Revoke user access in Microsoft Entra ID,”</w:t>
      </w:r>
      <w:r>
        <w:t xml:space="preserve"> </w:t>
      </w:r>
      <w:hyperlink r:id="rId58">
        <w:r>
          <w:rPr>
            <w:rStyle w:val="Hyperlink"/>
          </w:rPr>
          <w:t xml:space="preserve">https://learn.microsoft.com/entra/identity/users/users-revoke-access</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“Revoke user access in Microsoft Entra ID,”</w:t>
      </w:r>
      <w:r>
        <w:t xml:space="preserve"> </w:t>
      </w:r>
      <w:hyperlink r:id="rId58">
        <w:r>
          <w:rPr>
            <w:rStyle w:val="Hyperlink"/>
          </w:rPr>
          <w:t xml:space="preserve">https://learn.microsoft.com/entra/identity/users/users-revoke-access</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63">
        <w:r>
          <w:rPr>
            <w:rStyle w:val="Hyperlink"/>
          </w:rPr>
          <w:t xml:space="preserve">https://learn.microsoft.com/entra/identity/conditional-access/overview</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“What is Microsoft Entra ID Protection?,”</w:t>
      </w:r>
      <w:r>
        <w:t xml:space="preserve"> </w:t>
      </w:r>
      <w:hyperlink r:id="rId65">
        <w:r>
          <w:rPr>
            <w:rStyle w:val="Hyperlink"/>
          </w:rPr>
          <w:t xml:space="preserve">https://learn.microsoft.com/entra/id-protection/overview-identity-protection</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“Conditional Access for workload identities,”</w:t>
      </w:r>
      <w:r>
        <w:t xml:space="preserve"> </w:t>
      </w:r>
      <w:hyperlink r:id="rId67">
        <w:r>
          <w:rPr>
            <w:rStyle w:val="Hyperlink"/>
          </w:rPr>
          <w:t xml:space="preserve">https://learn.microsoft.com/entra/identity/conditional-access/workload-identity</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9" Target="media/rId19.svg" /><Relationship Type="http://schemas.openxmlformats.org/officeDocument/2006/relationships/image" Id="rId50" Target="media/rId50.svg" /><Relationship Type="http://schemas.openxmlformats.org/officeDocument/2006/relationships/image" Id="rId16" Target="media/rId16.sv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34" Target="media/rId34.png" /><Relationship Type="http://schemas.openxmlformats.org/officeDocument/2006/relationships/hyperlink" Id="rId69" Target="12-the-engine-authentication-decision.md" TargetMode="External" /><Relationship Type="http://schemas.openxmlformats.org/officeDocument/2006/relationships/hyperlink" Id="rId74" Target="15-the-three-phases-of-ntlm-elimination.md" TargetMode="External" /><Relationship Type="http://schemas.openxmlformats.org/officeDocument/2006/relationships/hyperlink" Id="rId29" Target="17-dynamic-membership-delegation-and-privilege.md" TargetMode="External" /><Relationship Type="http://schemas.openxmlformats.org/officeDocument/2006/relationships/hyperlink" Id="rId68" Target="19-connection-string-migration.md" TargetMode="External" /><Relationship Type="http://schemas.openxmlformats.org/officeDocument/2006/relationships/hyperlink" Id="rId26" Target="20-the-closure-condition.md" TargetMode="External" /><Relationship Type="http://schemas.openxmlformats.org/officeDocument/2006/relationships/hyperlink" Id="rId39" Target="https://learn.microsoft.com/entra/id-governance/access-reviews-overview" TargetMode="External" /><Relationship Type="http://schemas.openxmlformats.org/officeDocument/2006/relationships/hyperlink" Id="rId65" Target="https://learn.microsoft.com/entra/id-protection/overview-identity-protection" TargetMode="External" /><Relationship Type="http://schemas.openxmlformats.org/officeDocument/2006/relationships/hyperlink" Id="rId56" Target="https://learn.microsoft.com/entra/identity-platform/access-tokens" TargetMode="External" /><Relationship Type="http://schemas.openxmlformats.org/officeDocument/2006/relationships/hyperlink" Id="rId63" Target="https://learn.microsoft.com/entra/identity/conditional-access/overview" TargetMode="External" /><Relationship Type="http://schemas.openxmlformats.org/officeDocument/2006/relationships/hyperlink" Id="rId67" Target="https://learn.microsoft.com/entra/identity/conditional-access/workload-identity" TargetMode="External" /><Relationship Type="http://schemas.openxmlformats.org/officeDocument/2006/relationships/hyperlink" Id="rId48" Target="https://learn.microsoft.com/entra/identity/hybrid/connect/how-to-connect-fed-group-claims" TargetMode="External" /><Relationship Type="http://schemas.openxmlformats.org/officeDocument/2006/relationships/hyperlink" Id="rId46" Target="https://learn.microsoft.com/entra/identity/role-based-access-control/groups-concept" TargetMode="External" /><Relationship Type="http://schemas.openxmlformats.org/officeDocument/2006/relationships/hyperlink" Id="rId42" Target="https://learn.microsoft.com/entra/identity/users/groups-dynamic-membership" TargetMode="External" /><Relationship Type="http://schemas.openxmlformats.org/officeDocument/2006/relationships/hyperlink" Id="rId44" Target="https://learn.microsoft.com/entra/identity/users/groups-dynamic-rule-member-of" TargetMode="External" /><Relationship Type="http://schemas.openxmlformats.org/officeDocument/2006/relationships/hyperlink" Id="rId54" Target="https://learn.microsoft.com/entra/identity/users/manage-dynamic-group" TargetMode="External" /><Relationship Type="http://schemas.openxmlformats.org/officeDocument/2006/relationships/hyperlink" Id="rId58" Target="https://learn.microsoft.com/entra/identity/users/users-revoke-access" TargetMode="External" /><Relationship Type="http://schemas.openxmlformats.org/officeDocument/2006/relationships/hyperlink" Id="rId25" Target="https://learn.microsoft.com/sql/sql-server/azure-arc/entra-authentication-setup-tutorial" TargetMode="External" /><Relationship Type="http://schemas.openxmlformats.org/officeDocument/2006/relationships/hyperlink" Id="rId31" Target="https://learn.microsoft.com/sql/sql-server/azure-arc/microsoft-entra-authentication-with-managed-identity" TargetMode="External" /><Relationship Type="http://schemas.openxmlformats.org/officeDocument/2006/relationships/hyperlink" Id="rId75" Target="index.md" TargetMode="External" /><Relationship Type="http://schemas.openxmlformats.org/officeDocument/2006/relationships/hyperlink" Id="rId15" Target="r07-groups-aus-and-the-conditional-access-perimeter.md" TargetMode="External" /></Relationships>
</file>

<file path=word/_rels/footnotes.xml.rels><?xml version="1.0" encoding="UTF-8"?><Relationships xmlns="http://schemas.openxmlformats.org/package/2006/relationships"><Relationship Type="http://schemas.openxmlformats.org/officeDocument/2006/relationships/hyperlink" Id="rId69" Target="12-the-engine-authentication-decision.md" TargetMode="External" /><Relationship Type="http://schemas.openxmlformats.org/officeDocument/2006/relationships/hyperlink" Id="rId74" Target="15-the-three-phases-of-ntlm-elimination.md" TargetMode="External" /><Relationship Type="http://schemas.openxmlformats.org/officeDocument/2006/relationships/hyperlink" Id="rId29" Target="17-dynamic-membership-delegation-and-privilege.md" TargetMode="External" /><Relationship Type="http://schemas.openxmlformats.org/officeDocument/2006/relationships/hyperlink" Id="rId68" Target="19-connection-string-migration.md" TargetMode="External" /><Relationship Type="http://schemas.openxmlformats.org/officeDocument/2006/relationships/hyperlink" Id="rId26" Target="20-the-closure-condition.md" TargetMode="External" /><Relationship Type="http://schemas.openxmlformats.org/officeDocument/2006/relationships/hyperlink" Id="rId39" Target="https://learn.microsoft.com/entra/id-governance/access-reviews-overview" TargetMode="External" /><Relationship Type="http://schemas.openxmlformats.org/officeDocument/2006/relationships/hyperlink" Id="rId65" Target="https://learn.microsoft.com/entra/id-protection/overview-identity-protection" TargetMode="External" /><Relationship Type="http://schemas.openxmlformats.org/officeDocument/2006/relationships/hyperlink" Id="rId56" Target="https://learn.microsoft.com/entra/identity-platform/access-tokens" TargetMode="External" /><Relationship Type="http://schemas.openxmlformats.org/officeDocument/2006/relationships/hyperlink" Id="rId63" Target="https://learn.microsoft.com/entra/identity/conditional-access/overview" TargetMode="External" /><Relationship Type="http://schemas.openxmlformats.org/officeDocument/2006/relationships/hyperlink" Id="rId67" Target="https://learn.microsoft.com/entra/identity/conditional-access/workload-identity" TargetMode="External" /><Relationship Type="http://schemas.openxmlformats.org/officeDocument/2006/relationships/hyperlink" Id="rId48" Target="https://learn.microsoft.com/entra/identity/hybrid/connect/how-to-connect-fed-group-claims" TargetMode="External" /><Relationship Type="http://schemas.openxmlformats.org/officeDocument/2006/relationships/hyperlink" Id="rId46" Target="https://learn.microsoft.com/entra/identity/role-based-access-control/groups-concept" TargetMode="External" /><Relationship Type="http://schemas.openxmlformats.org/officeDocument/2006/relationships/hyperlink" Id="rId42" Target="https://learn.microsoft.com/entra/identity/users/groups-dynamic-membership" TargetMode="External" /><Relationship Type="http://schemas.openxmlformats.org/officeDocument/2006/relationships/hyperlink" Id="rId44" Target="https://learn.microsoft.com/entra/identity/users/groups-dynamic-rule-member-of" TargetMode="External" /><Relationship Type="http://schemas.openxmlformats.org/officeDocument/2006/relationships/hyperlink" Id="rId54" Target="https://learn.microsoft.com/entra/identity/users/manage-dynamic-group" TargetMode="External" /><Relationship Type="http://schemas.openxmlformats.org/officeDocument/2006/relationships/hyperlink" Id="rId58" Target="https://learn.microsoft.com/entra/identity/users/users-revoke-access" TargetMode="External" /><Relationship Type="http://schemas.openxmlformats.org/officeDocument/2006/relationships/hyperlink" Id="rId25" Target="https://learn.microsoft.com/sql/sql-server/azure-arc/entra-authentication-setup-tutorial" TargetMode="External" /><Relationship Type="http://schemas.openxmlformats.org/officeDocument/2006/relationships/hyperlink" Id="rId31" Target="https://learn.microsoft.com/sql/sql-server/azure-arc/microsoft-entra-authentication-with-managed-identity" TargetMode="External" /><Relationship Type="http://schemas.openxmlformats.org/officeDocument/2006/relationships/hyperlink" Id="rId75" Target="index.md" TargetMode="External" /><Relationship Type="http://schemas.openxmlformats.org/officeDocument/2006/relationships/hyperlink" Id="rId15" Target="r07-groups-aus-and-the-conditional-access-perimeter.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16 — Groups, Roles and How Membership Reaches the Engine</dc:title>
  <dc:creator/>
  <dc:description>How an Entra security group becomes a SQL Server login and one database role, why the group model stays flat, when membership changes take effect, and where Conditional Access does and doesn’t reach.</dc:description>
  <cp:keywords/>
  <dcterms:created xsi:type="dcterms:W3CDTF">2026-10-20T23:26:07Z</dcterms:created>
  <dcterms:modified xsi:type="dcterms:W3CDTF">2026-10-20T23:26:07Z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16</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