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4.svg" ContentType="image/svg+xml"/>
  <Override PartName="/word/media/rId9.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06 — Data Platform: SQL Server Identity</w:t>
      </w:r>
    </w:p>
    <w:p>
      <w:pPr>
        <w:pStyle w:val="Subtitle"/>
      </w:pPr>
      <w:r>
        <w:t xml:space="preserve">From Windows Authentication to cloud identity: why the database is where legacy authentication hides, and how to transform the SQL Server estate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2" w:name="Xcb059f6d879110b9eba959db683331b1cfaab06"/>
    <w:p>
      <w:pPr>
        <w:pStyle w:val="Heading1"/>
      </w:pPr>
      <w:r>
        <w:t xml:space="preserve">Book 06 — Data Platform: SQL Server Identity</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important.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Status — draft book</w:t>
            </w:r>
          </w:p>
        </w:tc>
      </w:tr>
      <w:tr>
        <w:trPr>
          <w:cantSplit/>
        </w:trPr>
        <w:tc>
          <w:tcPr>
            <w:tcMar>
              <w:top w:w="108" w:type="dxa"/>
              <w:bottom w:w="108" w:type="dxa"/>
            </w:tcMar>
          </w:tcPr>
          <w:p>
            <w:pPr>
              <w:pStyle w:val="BodyText"/>
            </w:pPr>
            <w:pPr>
              <w:spacing w:before="16" w:after="16"/>
            </w:pPr>
            <w:r>
              <w:t xml:space="preserve">This book is the former SQL Server Identity Transformation narrative series and its Implementation Companion, combined into one ordered book that reads Why / What / Who / How, with a new chapter on who owns the data platform. Every external claim was checked against a primary source on October 20, 2026 and carries a footnote. The previous pages are kept in the repository’s</w:t>
            </w:r>
            <w:r>
              <w:t xml:space="preserve"> </w:t>
            </w:r>
            <w:hyperlink r:id="rId12">
              <w:r>
                <w:rPr>
                  <w:rStyle w:val="VerbatimChar"/>
                </w:rPr>
                <w:t xml:space="preserve">archive/b06-data-platform/</w:t>
              </w:r>
            </w:hyperlink>
            <w:r>
              <w:t xml:space="preserve"> </w:t>
            </w:r>
            <w:r>
              <w:t xml:space="preserve">folder, and their old addresses forward here. The old Word download names still work.</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tip.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and present</w:t>
            </w:r>
          </w:p>
        </w:tc>
      </w:tr>
      <w:tr>
        <w:trPr>
          <w:cantSplit/>
        </w:trPr>
        <w:tc>
          <w:tcPr>
            <w:tcMar>
              <w:top w:w="108" w:type="dxa"/>
              <w:bottom w:w="108" w:type="dxa"/>
            </w:tcMar>
          </w:tcPr>
          <w:p>
            <w:pPr>
              <w:pStyle w:val="BodyText"/>
            </w:pPr>
            <w:pPr>
              <w:spacing w:before="16"/>
            </w:pPr>
            <w:hyperlink r:id="rId16">
              <w:r>
                <w:rPr>
                  <w:rStyle w:val="Hyperlink"/>
                  <w:b/>
                  <w:bCs/>
                </w:rPr>
                <w:t xml:space="preserve">b06-data-platform-bundle.docx</w:t>
              </w:r>
            </w:hyperlink>
            <w:r>
              <w:t xml:space="preserve">: the whole book as one Word document, regenerated on every site deploy. The former</w:t>
            </w:r>
            <w:r>
              <w:t xml:space="preserve"> </w:t>
            </w:r>
            <w:r>
              <w:rPr>
                <w:rStyle w:val="VerbatimChar"/>
              </w:rPr>
              <w:t xml:space="preserve">sql-server-narrative-bundle.docx</w:t>
            </w:r>
            <w:r>
              <w:t xml:space="preserve"> </w:t>
            </w:r>
            <w:r>
              <w:t xml:space="preserve">and per-book file names are kept as aliases.</w:t>
            </w:r>
          </w:p>
          <w:p>
            <w:pPr>
              <w:pStyle w:val="BodyText"/>
            </w:pPr>
            <w:pPr>
              <w:spacing w:after="16"/>
            </w:pPr>
            <w:r>
              <w:rPr>
                <w:b/>
                <w:bCs/>
              </w:rPr>
              <w:t xml:space="preserve">15-minute presentation</w:t>
            </w:r>
            <w:r>
              <w:t xml:space="preserve">: the Why / What / Who / How deck and its narrated, self-running version are in the repository under</w:t>
            </w:r>
            <w:r>
              <w:t xml:space="preserve"> </w:t>
            </w:r>
            <w:hyperlink r:id="rId17">
              <w:r>
                <w:rPr>
                  <w:rStyle w:val="VerbatimChar"/>
                </w:rPr>
                <w:t xml:space="preserve">presentations/b06-data-platform/</w:t>
              </w:r>
            </w:hyperlink>
            <w:r>
              <w:t xml:space="preserve">.</w:t>
            </w:r>
          </w:p>
          <w:p/>
        </w:tc>
      </w:tr>
    </w:tbl>
    <w:p>
      <w:pPr>
        <w:pStyle w:val="BodyText"/>
      </w:pPr>
      <w:r>
        <w:t xml:space="preserve">Every SQL Server instance that was joined to the domain inherited Windows Authentication: Kerberos when the service principal name is right, NTLM silently when it isn’t, and SQL logins wherever an application couldn’t do either. That inheritance is why the database is where legacy authentication hides longest. Nothing in Entra ID sees a Kerberos or NTLM session, so Conditional Access, phishing-resistant authentication and the audit trail never reach it. This book moves the estate to cloud identity for SQL Server 2022 and later: an Entra identity for each instance through Azure Arc, Entra logins for people, groups and applications, NTLM eliminated, and a closure condition that proves it. It starts with the estate itself, because consolidating before migrating is cheaper than migrating what should have been retired.</w:t>
      </w:r>
    </w:p>
    <w:p>
      <w:pPr>
        <w:pStyle w:val="CaptionedFigure"/>
      </w:pPr>
      <w:r>
        <w:drawing>
          <wp:inline>
            <wp:extent cx="5334000" cy="4695371"/>
            <wp:effectExtent b="0" l="0" r="0" t="0"/>
            <wp:docPr descr="The book’s chapters in the order they depend on each other." title="" id="19" name="Picture"/>
            <a:graphic>
              <a:graphicData uri="http://schemas.openxmlformats.org/drawingml/2006/picture">
                <pic:pic>
                  <pic:nvPicPr>
                    <pic:cNvPr descr="../../images/sql-server/diagrams/svg/series-00-reading-path.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4695371"/>
                    </a:xfrm>
                    <a:prstGeom prst="rect">
                      <a:avLst/>
                    </a:prstGeom>
                    <a:noFill/>
                    <a:ln w="9525">
                      <a:noFill/>
                      <a:headEnd/>
                      <a:tailEnd/>
                    </a:ln>
                  </pic:spPr>
                </pic:pic>
              </a:graphicData>
            </a:graphic>
          </wp:inline>
        </w:drawing>
      </w:r>
    </w:p>
    <w:p>
      <w:pPr>
        <w:pStyle w:val="ImageCaption"/>
      </w:pPr>
      <w:r>
        <w:t xml:space="preserve">The book’s chapters in the order they depend on each other.</w:t>
      </w:r>
    </w:p>
    <w:bookmarkStart w:id="33" w:name="why-what-who-how"/>
    <w:p>
      <w:pPr>
        <w:pStyle w:val="Heading2"/>
      </w:pPr>
      <w:r>
        <w:t xml:space="preserve">Why, what, who, how</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What Windows Authentication really is, why it must end, and what the estate looks like</w:t>
            </w:r>
          </w:p>
        </w:tc>
        <w:tc>
          <w:tcPr/>
          <w:p>
            <w:pPr>
              <w:pStyle w:val="Compact"/>
            </w:pPr>
            <w:hyperlink r:id="rId21">
              <w:r>
                <w:rPr>
                  <w:rStyle w:val="Hyperlink"/>
                </w:rPr>
                <w:t xml:space="preserve">01</w:t>
              </w:r>
            </w:hyperlink>
            <w:r>
              <w:t xml:space="preserve">–</w:t>
            </w:r>
            <w:hyperlink r:id="rId22">
              <w:r>
                <w:rPr>
                  <w:rStyle w:val="Hyperlink"/>
                </w:rPr>
                <w:t xml:space="preserve">06</w:t>
              </w:r>
            </w:hyperlink>
          </w:p>
        </w:tc>
      </w:tr>
      <w:tr>
        <w:tc>
          <w:tcPr/>
          <w:p>
            <w:pPr>
              <w:pStyle w:val="Compact"/>
            </w:pPr>
            <w:r>
              <w:rPr>
                <w:b/>
                <w:bCs/>
              </w:rPr>
              <w:t xml:space="preserve">What</w:t>
            </w:r>
          </w:p>
        </w:tc>
        <w:tc>
          <w:tcPr/>
          <w:p>
            <w:pPr>
              <w:pStyle w:val="Compact"/>
            </w:pPr>
            <w:r>
              <w:t xml:space="preserve">What is actually authenticating, the Arc identity bridge, and the principals that replace Windows logins</w:t>
            </w:r>
          </w:p>
        </w:tc>
        <w:tc>
          <w:tcPr/>
          <w:p>
            <w:pPr>
              <w:pStyle w:val="Compact"/>
            </w:pPr>
            <w:hyperlink r:id="rId23">
              <w:r>
                <w:rPr>
                  <w:rStyle w:val="Hyperlink"/>
                </w:rPr>
                <w:t xml:space="preserve">07</w:t>
              </w:r>
            </w:hyperlink>
            <w:r>
              <w:t xml:space="preserve">–</w:t>
            </w:r>
            <w:hyperlink r:id="rId24">
              <w:r>
                <w:rPr>
                  <w:rStyle w:val="Hyperlink"/>
                </w:rPr>
                <w:t xml:space="preserve">12</w:t>
              </w:r>
            </w:hyperlink>
          </w:p>
        </w:tc>
      </w:tr>
      <w:tr>
        <w:tc>
          <w:tcPr/>
          <w:p>
            <w:pPr>
              <w:pStyle w:val="Compact"/>
            </w:pPr>
            <w:r>
              <w:rPr>
                <w:b/>
                <w:bCs/>
              </w:rPr>
              <w:t xml:space="preserve">Who</w:t>
            </w:r>
          </w:p>
        </w:tc>
        <w:tc>
          <w:tcPr/>
          <w:p>
            <w:pPr>
              <w:pStyle w:val="Compact"/>
            </w:pPr>
            <w:r>
              <w:t xml:space="preserve">Who decides and who does the work for the data platform</w:t>
            </w:r>
          </w:p>
        </w:tc>
        <w:tc>
          <w:tcPr/>
          <w:p>
            <w:pPr>
              <w:pStyle w:val="Compact"/>
            </w:pPr>
            <w:hyperlink r:id="rId25">
              <w:r>
                <w:rPr>
                  <w:rStyle w:val="Hyperlink"/>
                </w:rPr>
                <w:t xml:space="preserve">13</w:t>
              </w:r>
            </w:hyperlink>
          </w:p>
        </w:tc>
      </w:tr>
      <w:tr>
        <w:tc>
          <w:tcPr/>
          <w:p>
            <w:pPr>
              <w:pStyle w:val="Compact"/>
            </w:pPr>
            <w:r>
              <w:rPr>
                <w:b/>
                <w:bCs/>
              </w:rPr>
              <w:t xml:space="preserve">How</w:t>
            </w:r>
          </w:p>
        </w:tc>
        <w:tc>
          <w:tcPr/>
          <w:p>
            <w:pPr>
              <w:pStyle w:val="Compact"/>
            </w:pPr>
            <w:r>
              <w:t xml:space="preserve">NTLM elimination, access control, the application chain, closure, the certificate dependency and the platform question</w:t>
            </w:r>
          </w:p>
        </w:tc>
        <w:tc>
          <w:tcPr/>
          <w:p>
            <w:pPr>
              <w:pStyle w:val="Compact"/>
            </w:pPr>
            <w:hyperlink r:id="rId26">
              <w:r>
                <w:rPr>
                  <w:rStyle w:val="Hyperlink"/>
                </w:rPr>
                <w:t xml:space="preserve">14</w:t>
              </w:r>
            </w:hyperlink>
            <w:r>
              <w:t xml:space="preserve">–</w:t>
            </w:r>
            <w:hyperlink r:id="rId27">
              <w:r>
                <w:rPr>
                  <w:rStyle w:val="Hyperlink"/>
                </w:rPr>
                <w:t xml:space="preserve">23</w:t>
              </w:r>
            </w:hyperlink>
          </w:p>
        </w:tc>
      </w:tr>
      <w:tr>
        <w:tc>
          <w:tcPr/>
          <w:p>
            <w:pPr>
              <w:pStyle w:val="Compact"/>
            </w:pPr>
            <w:r>
              <w:rPr>
                <w:b/>
                <w:bCs/>
              </w:rPr>
              <w:t xml:space="preserve">How — runbooks</w:t>
            </w:r>
          </w:p>
        </w:tc>
        <w:tc>
          <w:tcPr/>
          <w:p>
            <w:pPr>
              <w:pStyle w:val="Compact"/>
            </w:pPr>
            <w:r>
              <w:t xml:space="preserve">Step-by-step implementation, one runbook per stage</w:t>
            </w:r>
          </w:p>
        </w:tc>
        <w:tc>
          <w:tcPr/>
          <w:p>
            <w:pPr>
              <w:pStyle w:val="Compact"/>
            </w:pPr>
            <w:hyperlink r:id="rId28">
              <w:r>
                <w:rPr>
                  <w:rStyle w:val="Hyperlink"/>
                </w:rPr>
                <w:t xml:space="preserve">R01</w:t>
              </w:r>
            </w:hyperlink>
            <w:r>
              <w:t xml:space="preserve">–</w:t>
            </w:r>
            <w:hyperlink r:id="rId29">
              <w:r>
                <w:rPr>
                  <w:rStyle w:val="Hyperlink"/>
                </w:rPr>
                <w:t xml:space="preserve">R10</w:t>
              </w:r>
            </w:hyperlink>
          </w:p>
        </w:tc>
      </w:tr>
    </w:tbl>
    <w:p>
      <w:pPr>
        <w:pStyle w:val="BodyText"/>
      </w:pPr>
      <w:r>
        <w:t xml:space="preserve">Appendices:</w:t>
      </w:r>
      <w:r>
        <w:t xml:space="preserve"> </w:t>
      </w:r>
      <w:hyperlink r:id="rId30">
        <w:r>
          <w:rPr>
            <w:rStyle w:val="Hyperlink"/>
          </w:rPr>
          <w:t xml:space="preserve">A — Requirements mapping</w:t>
        </w:r>
      </w:hyperlink>
      <w:r>
        <w:t xml:space="preserve"> </w:t>
      </w:r>
      <w:r>
        <w:t xml:space="preserve">·</w:t>
      </w:r>
      <w:r>
        <w:t xml:space="preserve"> </w:t>
      </w:r>
      <w:hyperlink r:id="rId31">
        <w:r>
          <w:rPr>
            <w:rStyle w:val="Hyperlink"/>
          </w:rPr>
          <w:t xml:space="preserve">B — Security-approval (ATO) kit</w:t>
        </w:r>
      </w:hyperlink>
      <w:r>
        <w:t xml:space="preserve"> </w:t>
      </w:r>
      <w:r>
        <w:t xml:space="preserve">·</w:t>
      </w:r>
      <w:r>
        <w:t xml:space="preserve"> </w:t>
      </w:r>
      <w:hyperlink r:id="rId32">
        <w:r>
          <w:rPr>
            <w:rStyle w:val="Hyperlink"/>
          </w:rPr>
          <w:t xml:space="preserve">C — Applicability</w:t>
        </w:r>
      </w:hyperlink>
    </w:p>
    <w:bookmarkEnd w:id="33"/>
    <w:bookmarkStart w:id="37" w:name="the-destination"/>
    <w:p>
      <w:pPr>
        <w:pStyle w:val="Heading2"/>
      </w:pPr>
      <w:r>
        <w:t xml:space="preserve">The destination</w:t>
      </w:r>
    </w:p>
    <w:p>
      <w:pPr>
        <w:pStyle w:val="FirstParagraph"/>
      </w:pPr>
      <w:r>
        <w:t xml:space="preserve">Windows Authentication and SQL Authentication are eliminated for SQL Server 2022 and later and replaced with Microsoft Entra authentication: OAuth 2.0 tokens, an Entra identity for each instance (the Arc managed identity on SQL Server 2025, an app registration on SQL Server 2022), and multifactor authentication for every human principal. Versions that can’t use Entra authentication reach the closed state only by upgrade or retirement.</w:t>
      </w:r>
    </w:p>
    <w:p>
      <w:pPr>
        <w:pStyle w:val="CaptionedFigure"/>
      </w:pPr>
      <w:r>
        <w:drawing>
          <wp:inline>
            <wp:extent cx="5334000" cy="3601713"/>
            <wp:effectExtent b="0" l="0" r="0" t="0"/>
            <wp:docPr descr="How a connection authenticates before, during and after the transformation." title="" id="35" name="Picture"/>
            <a:graphic>
              <a:graphicData uri="http://schemas.openxmlformats.org/drawingml/2006/picture">
                <pic:pic>
                  <pic:nvPicPr>
                    <pic:cNvPr descr="../../images/sql-server/diagrams/svg/series-01-before-during-after.sv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5334000" cy="3601713"/>
                    </a:xfrm>
                    <a:prstGeom prst="rect">
                      <a:avLst/>
                    </a:prstGeom>
                    <a:noFill/>
                    <a:ln w="9525">
                      <a:noFill/>
                      <a:headEnd/>
                      <a:tailEnd/>
                    </a:ln>
                  </pic:spPr>
                </pic:pic>
              </a:graphicData>
            </a:graphic>
          </wp:inline>
        </w:drawing>
      </w:r>
    </w:p>
    <w:p>
      <w:pPr>
        <w:pStyle w:val="ImageCaption"/>
      </w:pPr>
      <w:r>
        <w:t xml:space="preserve">How a connection authenticates before, during and after the transformation.</w:t>
      </w:r>
    </w:p>
    <w:bookmarkEnd w:id="37"/>
    <w:bookmarkStart w:id="38" w:name="reading-paths"/>
    <w:p>
      <w:pPr>
        <w:pStyle w:val="Heading2"/>
      </w:pPr>
      <w:r>
        <w:t xml:space="preserve">Reading paths</w:t>
      </w:r>
    </w:p>
    <w:p>
      <w:pPr>
        <w:pStyle w:val="Compact"/>
        <w:numPr>
          <w:ilvl w:val="0"/>
          <w:numId w:val="1001"/>
        </w:numPr>
      </w:pPr>
      <w:r>
        <w:rPr>
          <w:b/>
          <w:bCs/>
        </w:rPr>
        <w:t xml:space="preserve">Executives (20 minutes):</w:t>
      </w:r>
      <w:r>
        <w:t xml:space="preserve"> </w:t>
      </w:r>
      <w:r>
        <w:t xml:space="preserve">Chapters 01, 02, 06 and 13, or the 15-minute presentation.</w:t>
      </w:r>
    </w:p>
    <w:p>
      <w:pPr>
        <w:pStyle w:val="Compact"/>
        <w:numPr>
          <w:ilvl w:val="0"/>
          <w:numId w:val="1001"/>
        </w:numPr>
      </w:pPr>
      <w:r>
        <w:rPr>
          <w:b/>
          <w:bCs/>
        </w:rPr>
        <w:t xml:space="preserve">Architects:</w:t>
      </w:r>
      <w:r>
        <w:t xml:space="preserve"> </w:t>
      </w:r>
      <w:r>
        <w:t xml:space="preserve">Chapters 01–13, then 20–23 and Appendix C first if the estate differs from the book’s assumptions.</w:t>
      </w:r>
    </w:p>
    <w:p>
      <w:pPr>
        <w:pStyle w:val="Compact"/>
        <w:numPr>
          <w:ilvl w:val="0"/>
          <w:numId w:val="1001"/>
        </w:numPr>
      </w:pPr>
      <w:r>
        <w:rPr>
          <w:b/>
          <w:bCs/>
        </w:rPr>
        <w:t xml:space="preserve">DBAs and engineers:</w:t>
      </w:r>
      <w:r>
        <w:t xml:space="preserve"> </w:t>
      </w:r>
      <w:r>
        <w:t xml:space="preserve">each narrative stage with its runbook: Chapters 03–06 with R02, 07–08 with R03, 09–10 with R04, 11–12 with R05, 14–15 with R06, 16–17 with R07, 18–19 with R08, 20–21 with R09, 22 with R10.</w:t>
      </w:r>
    </w:p>
    <w:bookmarkEnd w:id="38"/>
    <w:bookmarkStart w:id="49" w:name="where-this-book-sits-in-the-workbook"/>
    <w:p>
      <w:pPr>
        <w:pStyle w:val="Heading2"/>
      </w:pPr>
      <w:r>
        <w:t xml:space="preserve">Where this book sits in the workbook</w:t>
      </w:r>
    </w:p>
    <w:p>
      <w:pPr>
        <w:pStyle w:val="FirstParagraph"/>
      </w:pPr>
      <w:r>
        <w:t xml:space="preserve">This is Book 06 of the</w:t>
      </w:r>
      <w:r>
        <w:t xml:space="preserve"> </w:t>
      </w:r>
      <w:hyperlink r:id="rId39">
        <w:r>
          <w:rPr>
            <w:rStyle w:val="Hyperlink"/>
          </w:rPr>
          <w:t xml:space="preserve">Modernization Workbook</w:t>
        </w:r>
      </w:hyperlink>
      <w:r>
        <w:t xml:space="preserve">. It depends on</w:t>
      </w:r>
      <w:r>
        <w:t xml:space="preserve"> </w:t>
      </w:r>
      <w:hyperlink r:id="rId40">
        <w:r>
          <w:rPr>
            <w:rStyle w:val="Hyperlink"/>
          </w:rPr>
          <w:t xml:space="preserve">Book 02 — Identity &amp; Directory</w:t>
        </w:r>
      </w:hyperlink>
      <w:r>
        <w:t xml:space="preserve"> </w:t>
      </w:r>
      <w:r>
        <w:t xml:space="preserve">for the directory migration,</w:t>
      </w:r>
      <w:r>
        <w:t xml:space="preserve"> </w:t>
      </w:r>
      <w:hyperlink r:id="rId41">
        <w:r>
          <w:rPr>
            <w:rStyle w:val="Hyperlink"/>
          </w:rPr>
          <w:t xml:space="preserve">Book 03 — HR-Driven Identity</w:t>
        </w:r>
      </w:hyperlink>
      <w:r>
        <w:t xml:space="preserve"> </w:t>
      </w:r>
      <w:r>
        <w:t xml:space="preserve">for the attributes that drive dynamic group access,</w:t>
      </w:r>
      <w:r>
        <w:t xml:space="preserve"> </w:t>
      </w:r>
      <w:hyperlink r:id="rId42">
        <w:r>
          <w:rPr>
            <w:rStyle w:val="Hyperlink"/>
          </w:rPr>
          <w:t xml:space="preserve">Book 04 — Access &amp; Privilege</w:t>
        </w:r>
      </w:hyperlink>
      <w:r>
        <w:t xml:space="preserve"> </w:t>
      </w:r>
      <w:r>
        <w:t xml:space="preserve">for Conditional Access and PIM, and</w:t>
      </w:r>
      <w:r>
        <w:t xml:space="preserve"> </w:t>
      </w:r>
      <w:hyperlink r:id="rId43">
        <w:r>
          <w:rPr>
            <w:rStyle w:val="Hyperlink"/>
          </w:rPr>
          <w:t xml:space="preserve">Book 05 — Devices &amp; Endpoints</w:t>
        </w:r>
      </w:hyperlink>
      <w:r>
        <w:t xml:space="preserve"> </w:t>
      </w:r>
      <w:r>
        <w:t xml:space="preserve">for bringing servers under Azure Arc. The Federal Compliance books on</w:t>
      </w:r>
      <w:r>
        <w:t xml:space="preserve"> </w:t>
      </w:r>
      <w:hyperlink r:id="rId44">
        <w:r>
          <w:rPr>
            <w:rStyle w:val="Hyperlink"/>
          </w:rPr>
          <w:t xml:space="preserve">SQL Server authentication modernization</w:t>
        </w:r>
      </w:hyperlink>
      <w:r>
        <w:t xml:space="preserve">, the</w:t>
      </w:r>
      <w:r>
        <w:t xml:space="preserve"> </w:t>
      </w:r>
      <w:hyperlink r:id="rId45">
        <w:r>
          <w:rPr>
            <w:rStyle w:val="Hyperlink"/>
          </w:rPr>
          <w:t xml:space="preserve">SQL Server implementation guide</w:t>
        </w:r>
      </w:hyperlink>
      <w:r>
        <w:t xml:space="preserve"> </w:t>
      </w:r>
      <w:r>
        <w:t xml:space="preserve">and</w:t>
      </w:r>
      <w:r>
        <w:t xml:space="preserve"> </w:t>
      </w:r>
      <w:hyperlink r:id="rId46">
        <w:r>
          <w:rPr>
            <w:rStyle w:val="Hyperlink"/>
          </w:rPr>
          <w:t xml:space="preserve">database consolidation</w:t>
        </w:r>
      </w:hyperlink>
      <w:r>
        <w:t xml:space="preserve"> </w:t>
      </w:r>
      <w:r>
        <w:t xml:space="preserve">carry the compliance treatment, and the</w:t>
      </w:r>
      <w:r>
        <w:t xml:space="preserve"> </w:t>
      </w:r>
      <w:hyperlink r:id="rId47">
        <w:r>
          <w:rPr>
            <w:rStyle w:val="Hyperlink"/>
          </w:rPr>
          <w:t xml:space="preserve">Data Platform Identity Transformation project</w:t>
        </w:r>
      </w:hyperlink>
      <w:r>
        <w:t xml:space="preserve"> </w:t>
      </w:r>
      <w:r>
        <w:t xml:space="preserve">(</w:t>
      </w:r>
      <w:hyperlink r:id="rId48">
        <w:r>
          <w:rPr>
            <w:rStyle w:val="Hyperlink"/>
          </w:rPr>
          <w:t xml:space="preserve">plan</w:t>
        </w:r>
      </w:hyperlink>
      <w:r>
        <w:t xml:space="preserve">) delivers it.</w:t>
      </w:r>
    </w:p>
    <w:bookmarkEnd w:id="49"/>
    <w:bookmarkStart w:id="51" w:name="chapters-and-runbooks"/>
    <w:p>
      <w:pPr>
        <w:pStyle w:val="Heading2"/>
      </w:pPr>
      <w:r>
        <w:t xml:space="preserve">Chapters and runbooks</w:t>
      </w:r>
    </w:p>
    <w:bookmarkStart w:id="50" w:name="chapters"/>
    <w:bookmarkEnd w:id="50"/>
    <w:bookmarkEnd w:id="51"/>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4" Target="media/rId34.svg" /><Relationship Type="http://schemas.openxmlformats.org/officeDocument/2006/relationships/image" Id="rId9" Target="media/rId9.png" /><Relationship Type="http://schemas.openxmlformats.org/officeDocument/2006/relationships/image" Id="rId13" Target="media/rId13.png" /><Relationship Type="http://schemas.openxmlformats.org/officeDocument/2006/relationships/hyperlink" Id="rId16" Target="../../../downloads/b06-data-platform-bundle.docx" TargetMode="External" /><Relationship Type="http://schemas.openxmlformats.org/officeDocument/2006/relationships/hyperlink" Id="rId44" Target="../../compliance/Vol_II_Book_01_SQL_Server_Authentication_Modernization.md" TargetMode="External" /><Relationship Type="http://schemas.openxmlformats.org/officeDocument/2006/relationships/hyperlink" Id="rId45" Target="../../compliance/Vol_II_Book_02_SQL_Server_Implementation_Guide.md" TargetMode="External" /><Relationship Type="http://schemas.openxmlformats.org/officeDocument/2006/relationships/hyperlink" Id="rId46" Target="../../compliance/Vol_II_Book_03_Database_Consolidation_Network_Physics.md" TargetMode="External" /><Relationship Type="http://schemas.openxmlformats.org/officeDocument/2006/relationships/hyperlink" Id="rId47" Target="../../projects/data-platform-charter.md" TargetMode="External" /><Relationship Type="http://schemas.openxmlformats.org/officeDocument/2006/relationships/hyperlink" Id="rId48" Target="../../projects/data-platform-plan.md" TargetMode="External" /><Relationship Type="http://schemas.openxmlformats.org/officeDocument/2006/relationships/hyperlink" Id="rId40" Target="../b02-identity/index.md" TargetMode="External" /><Relationship Type="http://schemas.openxmlformats.org/officeDocument/2006/relationships/hyperlink" Id="rId41" Target="../b03-hr-identity/index.md" TargetMode="External" /><Relationship Type="http://schemas.openxmlformats.org/officeDocument/2006/relationships/hyperlink" Id="rId42" Target="../b04-access/index.md" TargetMode="External" /><Relationship Type="http://schemas.openxmlformats.org/officeDocument/2006/relationships/hyperlink" Id="rId43" Target="../b05-devices/index.md" TargetMode="External" /><Relationship Type="http://schemas.openxmlformats.org/officeDocument/2006/relationships/hyperlink" Id="rId39" Target="../index.md" TargetMode="External" /><Relationship Type="http://schemas.openxmlformats.org/officeDocument/2006/relationships/hyperlink" Id="rId21" Target="01-what-windows-authentication-actually-is.md" TargetMode="External" /><Relationship Type="http://schemas.openxmlformats.org/officeDocument/2006/relationships/hyperlink" Id="rId22" Target="06-retain-consolidate-retire.md" TargetMode="External" /><Relationship Type="http://schemas.openxmlformats.org/officeDocument/2006/relationships/hyperlink" Id="rId23" Target="07-the-authentication-audit.md" TargetMode="External" /><Relationship Type="http://schemas.openxmlformats.org/officeDocument/2006/relationships/hyperlink" Id="rId24" Target="12-the-engine-authentication-decision.md" TargetMode="External" /><Relationship Type="http://schemas.openxmlformats.org/officeDocument/2006/relationships/hyperlink" Id="rId25" Target="13-who-owns-the-data-platform.md" TargetMode="External" /><Relationship Type="http://schemas.openxmlformats.org/officeDocument/2006/relationships/hyperlink" Id="rId26" Target="14-ntlm-and-the-patterns-that-generate-it.md" TargetMode="External" /><Relationship Type="http://schemas.openxmlformats.org/officeDocument/2006/relationships/hyperlink" Id="rId27" Target="23-epilogue-the-platform-question.md" TargetMode="External" /><Relationship Type="http://schemas.openxmlformats.org/officeDocument/2006/relationships/hyperlink" Id="rId30" Target="appendix-a-requirements-mapping.md" TargetMode="External" /><Relationship Type="http://schemas.openxmlformats.org/officeDocument/2006/relationships/hyperlink" Id="rId31" Target="appendix-b-ato-kit.md" TargetMode="External" /><Relationship Type="http://schemas.openxmlformats.org/officeDocument/2006/relationships/hyperlink" Id="rId32" Target="appendix-c-applicability.md" TargetMode="External" /><Relationship Type="http://schemas.openxmlformats.org/officeDocument/2006/relationships/hyperlink" Id="rId12" Target="https://github.com/WhalerMike/modernization-workbook/tree/main/archive/b06-data-platform" TargetMode="External" /><Relationship Type="http://schemas.openxmlformats.org/officeDocument/2006/relationships/hyperlink" Id="rId17" Target="https://github.com/WhalerMike/modernization-workbook/tree/main/presentations/b06-data-platform" TargetMode="External" /><Relationship Type="http://schemas.openxmlformats.org/officeDocument/2006/relationships/hyperlink" Id="rId28" Target="r01-prerequisites.md" TargetMode="External" /><Relationship Type="http://schemas.openxmlformats.org/officeDocument/2006/relationships/hyperlink" Id="rId29" Target="r10-certificate-discovery-for-adcs.md" TargetMode="External" /></Relationships>
</file>

<file path=word/_rels/footnotes.xml.rels><?xml version="1.0" encoding="UTF-8"?><Relationships xmlns="http://schemas.openxmlformats.org/package/2006/relationships"><Relationship Type="http://schemas.openxmlformats.org/officeDocument/2006/relationships/hyperlink" Id="rId16" Target="../../../downloads/b06-data-platform-bundle.docx" TargetMode="External" /><Relationship Type="http://schemas.openxmlformats.org/officeDocument/2006/relationships/hyperlink" Id="rId44" Target="../../compliance/Vol_II_Book_01_SQL_Server_Authentication_Modernization.md" TargetMode="External" /><Relationship Type="http://schemas.openxmlformats.org/officeDocument/2006/relationships/hyperlink" Id="rId45" Target="../../compliance/Vol_II_Book_02_SQL_Server_Implementation_Guide.md" TargetMode="External" /><Relationship Type="http://schemas.openxmlformats.org/officeDocument/2006/relationships/hyperlink" Id="rId46" Target="../../compliance/Vol_II_Book_03_Database_Consolidation_Network_Physics.md" TargetMode="External" /><Relationship Type="http://schemas.openxmlformats.org/officeDocument/2006/relationships/hyperlink" Id="rId47" Target="../../projects/data-platform-charter.md" TargetMode="External" /><Relationship Type="http://schemas.openxmlformats.org/officeDocument/2006/relationships/hyperlink" Id="rId48" Target="../../projects/data-platform-plan.md" TargetMode="External" /><Relationship Type="http://schemas.openxmlformats.org/officeDocument/2006/relationships/hyperlink" Id="rId40" Target="../b02-identity/index.md" TargetMode="External" /><Relationship Type="http://schemas.openxmlformats.org/officeDocument/2006/relationships/hyperlink" Id="rId41" Target="../b03-hr-identity/index.md" TargetMode="External" /><Relationship Type="http://schemas.openxmlformats.org/officeDocument/2006/relationships/hyperlink" Id="rId42" Target="../b04-access/index.md" TargetMode="External" /><Relationship Type="http://schemas.openxmlformats.org/officeDocument/2006/relationships/hyperlink" Id="rId43" Target="../b05-devices/index.md" TargetMode="External" /><Relationship Type="http://schemas.openxmlformats.org/officeDocument/2006/relationships/hyperlink" Id="rId39" Target="../index.md" TargetMode="External" /><Relationship Type="http://schemas.openxmlformats.org/officeDocument/2006/relationships/hyperlink" Id="rId21" Target="01-what-windows-authentication-actually-is.md" TargetMode="External" /><Relationship Type="http://schemas.openxmlformats.org/officeDocument/2006/relationships/hyperlink" Id="rId22" Target="06-retain-consolidate-retire.md" TargetMode="External" /><Relationship Type="http://schemas.openxmlformats.org/officeDocument/2006/relationships/hyperlink" Id="rId23" Target="07-the-authentication-audit.md" TargetMode="External" /><Relationship Type="http://schemas.openxmlformats.org/officeDocument/2006/relationships/hyperlink" Id="rId24" Target="12-the-engine-authentication-decision.md" TargetMode="External" /><Relationship Type="http://schemas.openxmlformats.org/officeDocument/2006/relationships/hyperlink" Id="rId25" Target="13-who-owns-the-data-platform.md" TargetMode="External" /><Relationship Type="http://schemas.openxmlformats.org/officeDocument/2006/relationships/hyperlink" Id="rId26" Target="14-ntlm-and-the-patterns-that-generate-it.md" TargetMode="External" /><Relationship Type="http://schemas.openxmlformats.org/officeDocument/2006/relationships/hyperlink" Id="rId27" Target="23-epilogue-the-platform-question.md" TargetMode="External" /><Relationship Type="http://schemas.openxmlformats.org/officeDocument/2006/relationships/hyperlink" Id="rId30" Target="appendix-a-requirements-mapping.md" TargetMode="External" /><Relationship Type="http://schemas.openxmlformats.org/officeDocument/2006/relationships/hyperlink" Id="rId31" Target="appendix-b-ato-kit.md" TargetMode="External" /><Relationship Type="http://schemas.openxmlformats.org/officeDocument/2006/relationships/hyperlink" Id="rId32" Target="appendix-c-applicability.md" TargetMode="External" /><Relationship Type="http://schemas.openxmlformats.org/officeDocument/2006/relationships/hyperlink" Id="rId12" Target="https://github.com/WhalerMike/modernization-workbook/tree/main/archive/b06-data-platform" TargetMode="External" /><Relationship Type="http://schemas.openxmlformats.org/officeDocument/2006/relationships/hyperlink" Id="rId17" Target="https://github.com/WhalerMike/modernization-workbook/tree/main/presentations/b06-data-platform" TargetMode="External" /><Relationship Type="http://schemas.openxmlformats.org/officeDocument/2006/relationships/hyperlink" Id="rId28" Target="r01-prerequisites.md" TargetMode="External" /><Relationship Type="http://schemas.openxmlformats.org/officeDocument/2006/relationships/hyperlink" Id="rId29" Target="r10-certificate-discovery-for-adcs.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06 — Data Platform: SQL Server Identity</dc:title>
  <dc:creator/>
  <dc:description>Book 06 of the Modernization Workbook: what Windows Authentication is and why the inheritance must end, the estate and its rationalization, the authentication audit, Azure Arc as the identity bridge, login migration, who owns the data platform, NTLM elimination, access control, the application chain, the closure condition, the AD CS dependency, the platform question, and ten implementation runbooks.</dc:description>
  <cp:keywords/>
  <dcterms:created xsi:type="dcterms:W3CDTF">2026-10-20T23:26:16Z</dcterms:created>
  <dcterms:modified xsi:type="dcterms:W3CDTF">2026-10-20T23:26:16Z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section-landing</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listing">
    <vt:lpwstr/>
  </property>
  <property fmtid="{D5CDD505-2E9C-101B-9397-08002B2CF9AE}" pid="14" name="subtitle">
    <vt:lpwstr>From Windows Authentication to cloud identity: why the database is where legacy authentication hides, and how to transform the SQL Server estate</vt:lpwstr>
  </property>
  <property fmtid="{D5CDD505-2E9C-101B-9397-08002B2CF9AE}" pid="15" name="tiers_adopted">
    <vt:lpwstr/>
  </property>
  <property fmtid="{D5CDD505-2E9C-101B-9397-08002B2CF9AE}" pid="16" name="toc-title">
    <vt:lpwstr>Table of contents</vt:lpwstr>
  </property>
</Properties>
</file>