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png" ContentType="image/png"/>
  <Override PartName="/word/media/rId9.png" ContentType="image/png"/>
  <Override PartName="/word/media/rId46.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R03 — The Authentication Audit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1" w:name="runbook-r03-the-authentication-audit"/>
    <w:p>
      <w:pPr>
        <w:pStyle w:val="Heading1"/>
      </w:pPr>
      <w:r>
        <w:t xml:space="preserve">Runbook R03 — The Authentication Audit</w:t>
      </w:r>
    </w:p>
    <w:p>
      <w:pPr>
        <w:pStyle w:val="FirstParagraph"/>
      </w:pPr>
      <w:r>
        <w:rPr>
          <w:i/>
          <w:iCs/>
        </w:rPr>
        <w:t xml:space="preserve">The audit changes nothing, so run it first and run it often.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The audit script itself (prerequisites, parameters, invocations and output schema), how to read the readiness verdict it computes, the supporting discovery scripts and their run order, how the script degrades when something is missing, two input-format defects to work around, and how the audit output feeds continuous monitoring. Everything here is read-only.</w:t>
            </w:r>
          </w:p>
          <w:p/>
        </w:tc>
      </w:tr>
    </w:tbl>
    <w:p>
      <w:pPr>
        <w:pStyle w:val="BodyText"/>
      </w:pPr>
      <w:r>
        <w:rPr>
          <w:b/>
          <w:bCs/>
        </w:rPr>
        <w:t xml:space="preserve">Pairs with:</w:t>
      </w:r>
      <w:r>
        <w:t xml:space="preserve"> </w:t>
      </w:r>
      <w:hyperlink r:id="rId12">
        <w:r>
          <w:rPr>
            <w:rStyle w:val="Hyperlink"/>
          </w:rPr>
          <w:t xml:space="preserve">Chapter 07 — The Authentication Audit</w:t>
        </w:r>
      </w:hyperlink>
      <w:r>
        <w:t xml:space="preserve"> </w:t>
      </w:r>
      <w:r>
        <w:t xml:space="preserve">and</w:t>
      </w:r>
      <w:r>
        <w:t xml:space="preserve"> </w:t>
      </w:r>
      <w:hyperlink r:id="rId13">
        <w:r>
          <w:rPr>
            <w:rStyle w:val="Hyperlink"/>
          </w:rPr>
          <w:t xml:space="preserve">Chapter 08 — Reading the Audit: Classification and Triage</w:t>
        </w:r>
      </w:hyperlink>
      <w:r>
        <w:t xml:space="preserve">. Those chapters explain why you audit before you migrate; this runbook is the actual scripts, their parameters and their output.</w:t>
      </w:r>
    </w:p>
    <w:bookmarkStart w:id="14" w:name="start-here-the-audit-is-the-foundation"/>
    <w:p>
      <w:pPr>
        <w:pStyle w:val="Heading2"/>
      </w:pPr>
      <w:r>
        <w:t xml:space="preserve">Start here: the audit is the foundation</w:t>
      </w:r>
    </w:p>
    <w:p>
      <w:pPr>
        <w:pStyle w:val="FirstParagraph"/>
      </w:pPr>
      <w:r>
        <w:t xml:space="preserve">Every later step (consolidation, Arc enablement, login migration, NTLM elimination) depends on knowing what you actually have. The audit produces that inventory. Run it first, keep its output under version control, and re-run it after every change to measure progress.</w:t>
      </w:r>
    </w:p>
    <w:p>
      <w:pPr>
        <w:pStyle w:val="BodyText"/>
      </w:pPr>
      <w:r>
        <w:t xml:space="preserve">The scripts live in the program’s repository under</w:t>
      </w:r>
      <w:r>
        <w:t xml:space="preserve"> </w:t>
      </w:r>
      <w:r>
        <w:rPr>
          <w:rStyle w:val="VerbatimChar"/>
        </w:rPr>
        <w:t xml:space="preserve">tools/discovery/</w:t>
      </w:r>
      <w:r>
        <w:t xml:space="preserve"> </w:t>
      </w:r>
      <w:r>
        <w:t xml:space="preserve">as the</w:t>
      </w:r>
      <w:r>
        <w:t xml:space="preserve"> </w:t>
      </w:r>
      <w:r>
        <w:rPr>
          <w:rStyle w:val="VerbatimChar"/>
        </w:rPr>
        <w:t xml:space="preserve">Spec*-D1.*</w:t>
      </w:r>
      <w:r>
        <w:t xml:space="preserve"> </w:t>
      </w:r>
      <w:r>
        <w:t xml:space="preserve">family, the Phase 1 deliverables of the program’s discovery specifications. They are plain PowerShell, emit JSON and CSV, and need no write access to anything.</w:t>
      </w:r>
    </w:p>
    <w:bookmarkEnd w:id="14"/>
    <w:bookmarkStart w:id="30" w:name="X0c15dcdff9612a37549f95394f0f26450a92cfb"/>
    <w:p>
      <w:pPr>
        <w:pStyle w:val="Heading2"/>
      </w:pPr>
      <w:r>
        <w:t xml:space="preserve">The primary script:</w:t>
      </w:r>
      <w:r>
        <w:t xml:space="preserve"> </w:t>
      </w:r>
      <w:r>
        <w:rPr>
          <w:rStyle w:val="VerbatimChar"/>
        </w:rPr>
        <w:t xml:space="preserve">Spec3-D1.8-Get-SQLServerAuthAudit.ps1</w:t>
      </w:r>
    </w:p>
    <w:p>
      <w:pPr>
        <w:pStyle w:val="FirstParagraph"/>
      </w:pPr>
      <w:r>
        <w:t xml:space="preserve">The script discovers SQL Server instances and audits their authentication configuration for Microsoft Entra ID migration readiness.</w:t>
      </w:r>
    </w:p>
    <w:bookmarkStart w:id="17" w:name="prerequisites"/>
    <w:p>
      <w:pPr>
        <w:pStyle w:val="Heading3"/>
      </w:pPr>
      <w:r>
        <w:t xml:space="preserve">Prerequisites</w:t>
      </w:r>
    </w:p>
    <w:p>
      <w:pPr>
        <w:pStyle w:val="Compact"/>
        <w:numPr>
          <w:ilvl w:val="0"/>
          <w:numId w:val="1001"/>
        </w:numPr>
      </w:pPr>
      <w:r>
        <w:rPr>
          <w:b/>
          <w:bCs/>
        </w:rPr>
        <w:t xml:space="preserve">The ActiveDirectory PowerShell module</w:t>
      </w:r>
      <w:r>
        <w:t xml:space="preserve"> </w:t>
      </w:r>
      <w:r>
        <w:t xml:space="preserve">(RSAT), for the live</w:t>
      </w:r>
      <w:r>
        <w:t xml:space="preserve"> </w:t>
      </w:r>
      <w:r>
        <w:rPr>
          <w:rStyle w:val="VerbatimChar"/>
        </w:rPr>
        <w:t xml:space="preserve">MSSQLSvc</w:t>
      </w:r>
      <w:r>
        <w:t xml:space="preserve"> </w:t>
      </w:r>
      <w:r>
        <w:t xml:space="preserve">SPN query and for the orphaned-login check.</w:t>
      </w:r>
    </w:p>
    <w:p>
      <w:pPr>
        <w:pStyle w:val="Compact"/>
        <w:numPr>
          <w:ilvl w:val="0"/>
          <w:numId w:val="1001"/>
        </w:numPr>
      </w:pPr>
      <w:r>
        <w:rPr>
          <w:b/>
          <w:bCs/>
        </w:rPr>
        <w:t xml:space="preserve">Remote CIM (WMI) access</w:t>
      </w:r>
      <w:r>
        <w:t xml:space="preserve"> </w:t>
      </w:r>
      <w:r>
        <w:t xml:space="preserve">to each host, to read the SQL Server services and their accounts from</w:t>
      </w:r>
      <w:r>
        <w:t xml:space="preserve"> </w:t>
      </w:r>
      <w:r>
        <w:rPr>
          <w:rStyle w:val="VerbatimChar"/>
        </w:rPr>
        <w:t xml:space="preserve">Win32_Service</w:t>
      </w:r>
      <w:r>
        <w:t xml:space="preserve">.</w:t>
      </w:r>
    </w:p>
    <w:p>
      <w:pPr>
        <w:pStyle w:val="Compact"/>
        <w:numPr>
          <w:ilvl w:val="0"/>
          <w:numId w:val="1001"/>
        </w:numPr>
      </w:pPr>
      <w:r>
        <w:rPr>
          <w:b/>
          <w:bCs/>
        </w:rPr>
        <w:t xml:space="preserve">SQL Server permissions on each instance, only if</w:t>
      </w:r>
      <w:r>
        <w:rPr>
          <w:b/>
          <w:bCs/>
        </w:rPr>
        <w:t xml:space="preserve"> </w:t>
      </w:r>
      <w:r>
        <w:rPr>
          <w:rStyle w:val="VerbatimChar"/>
          <w:b/>
          <w:bCs/>
        </w:rPr>
        <w:t xml:space="preserve">-QueryInstances</w:t>
      </w:r>
      <w:r>
        <w:rPr>
          <w:b/>
          <w:bCs/>
        </w:rPr>
        <w:t xml:space="preserve"> </w:t>
      </w:r>
      <w:r>
        <w:rPr>
          <w:b/>
          <w:bCs/>
        </w:rPr>
        <w:t xml:space="preserve">is set.</w:t>
      </w:r>
      <w:r>
        <w:t xml:space="preserve"> </w:t>
      </w:r>
      <w:r>
        <w:t xml:space="preserve">The script connects with Windows integrated authentication through the .NET SqlClient provider and reads</w:t>
      </w:r>
      <w:r>
        <w:t xml:space="preserve"> </w:t>
      </w:r>
      <w:r>
        <w:rPr>
          <w:rStyle w:val="VerbatimChar"/>
        </w:rPr>
        <w:t xml:space="preserve">SERVERPROPERTY</w:t>
      </w:r>
      <w:r>
        <w:t xml:space="preserve">,</w:t>
      </w:r>
      <w:r>
        <w:t xml:space="preserve"> </w:t>
      </w:r>
      <w:r>
        <w:rPr>
          <w:rStyle w:val="VerbatimChar"/>
        </w:rPr>
        <w:t xml:space="preserve">sys.server_principals</w:t>
      </w:r>
      <w:r>
        <w:t xml:space="preserve"> </w:t>
      </w:r>
      <w:r>
        <w:t xml:space="preserve">and</w:t>
      </w:r>
      <w:r>
        <w:t xml:space="preserve"> </w:t>
      </w:r>
      <w:r>
        <w:rPr>
          <w:rStyle w:val="VerbatimChar"/>
        </w:rPr>
        <w:t xml:space="preserve">sys.servers</w:t>
      </w:r>
      <w:r>
        <w:t xml:space="preserve">. It doesn’t need the SqlServer PowerShell module. Catalog views show only the metadata on securables the caller owns or has been granted some permission on,</w:t>
      </w:r>
      <w:r>
        <w:rPr>
          <w:rStyle w:val="FootnoteReference"/>
        </w:rPr>
        <w:footnoteReference w:id="15"/>
      </w:r>
      <w:r>
        <w:t xml:space="preserve"> </w:t>
      </w:r>
      <w:r>
        <w:t xml:space="preserve">so an under-privileged audit account returns a partial login list without any error. Grant the audit account the narrowest server-level read permissions that let it see every login, and confirm the login count against a known instance.</w:t>
      </w:r>
    </w:p>
    <w:bookmarkEnd w:id="17"/>
    <w:bookmarkStart w:id="18" w:name="parameters"/>
    <w:p>
      <w:pPr>
        <w:pStyle w:val="Heading3"/>
      </w:pPr>
      <w:r>
        <w:t xml:space="preserve">Parameters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Directory for JSON and CSV output</w:t>
            </w:r>
          </w:p>
        </w:tc>
      </w:tr>
      <w:tr>
        <w:tc>
          <w:tcPr/>
          <w:p>
            <w:pPr>
              <w:pStyle w:val="Compact"/>
            </w:pPr>
            <w:r>
              <w:rPr>
                <w:rStyle w:val="VerbatimChar"/>
              </w:rPr>
              <w:t xml:space="preserve">-D5InputFile</w:t>
            </w:r>
          </w:p>
        </w:tc>
        <w:tc>
          <w:tcPr/>
          <w:p>
            <w:pPr>
              <w:pStyle w:val="Compact"/>
            </w:pPr>
            <w:r>
              <w:t xml:space="preserve">string</w:t>
            </w:r>
          </w:p>
        </w:tc>
        <w:tc>
          <w:tcPr/>
          <w:p>
            <w:pPr>
              <w:pStyle w:val="Compact"/>
            </w:pPr>
            <w:r>
              <w:t xml:space="preserve">—</w:t>
            </w:r>
          </w:p>
        </w:tc>
        <w:tc>
          <w:tcPr/>
          <w:p>
            <w:pPr>
              <w:pStyle w:val="Compact"/>
            </w:pPr>
            <w:r>
              <w:t xml:space="preserve">Path to the</w:t>
            </w:r>
            <w:r>
              <w:t xml:space="preserve"> </w:t>
            </w:r>
            <w:r>
              <w:rPr>
                <w:rStyle w:val="VerbatimChar"/>
              </w:rPr>
              <w:t xml:space="preserve">Spec1-D1.5</w:t>
            </w:r>
            <w:r>
              <w:t xml:space="preserve"> </w:t>
            </w:r>
            <w:r>
              <w:t xml:space="preserve">SPN-inventory JSON, used</w:t>
            </w:r>
            <w:r>
              <w:t xml:space="preserve"> </w:t>
            </w:r>
            <w:r>
              <w:rPr>
                <w:i/>
                <w:iCs/>
              </w:rPr>
              <w:t xml:space="preserve">instead of</w:t>
            </w:r>
            <w:r>
              <w:t xml:space="preserve"> </w:t>
            </w:r>
            <w:r>
              <w:t xml:space="preserve">the live SPN query (see the known defects below)</w:t>
            </w:r>
          </w:p>
        </w:tc>
      </w:tr>
      <w:tr>
        <w:tc>
          <w:tcPr/>
          <w:p>
            <w:pPr>
              <w:pStyle w:val="Compact"/>
            </w:pPr>
            <w:r>
              <w:rPr>
                <w:rStyle w:val="VerbatimChar"/>
              </w:rPr>
              <w:t xml:space="preserve">-D1InputFile</w:t>
            </w:r>
          </w:p>
        </w:tc>
        <w:tc>
          <w:tcPr/>
          <w:p>
            <w:pPr>
              <w:pStyle w:val="Compact"/>
            </w:pPr>
            <w:r>
              <w:t xml:space="preserve">string</w:t>
            </w:r>
          </w:p>
        </w:tc>
        <w:tc>
          <w:tcPr/>
          <w:p>
            <w:pPr>
              <w:pStyle w:val="Compact"/>
            </w:pPr>
            <w:r>
              <w:t xml:space="preserve">—</w:t>
            </w:r>
          </w:p>
        </w:tc>
        <w:tc>
          <w:tcPr/>
          <w:p>
            <w:pPr>
              <w:pStyle w:val="Compact"/>
            </w:pPr>
            <w:r>
              <w:t xml:space="preserve">Path to a service-account scan JSON (</w:t>
            </w:r>
            <w:r>
              <w:rPr>
                <w:rStyle w:val="VerbatimChar"/>
              </w:rPr>
              <w:t xml:space="preserve">ServiceAccounts[]</w:t>
            </w:r>
            <w:r>
              <w:t xml:space="preserve">), for cross-reference</w:t>
            </w:r>
          </w:p>
        </w:tc>
      </w:tr>
      <w:tr>
        <w:tc>
          <w:tcPr/>
          <w:p>
            <w:pPr>
              <w:pStyle w:val="Compact"/>
            </w:pPr>
            <w:r>
              <w:rPr>
                <w:rStyle w:val="VerbatimChar"/>
              </w:rPr>
              <w:t xml:space="preserve">-TargetServers</w:t>
            </w:r>
          </w:p>
        </w:tc>
        <w:tc>
          <w:tcPr/>
          <w:p>
            <w:pPr>
              <w:pStyle w:val="Compact"/>
            </w:pPr>
            <w:r>
              <w:t xml:space="preserve">string[]</w:t>
            </w:r>
          </w:p>
        </w:tc>
        <w:tc>
          <w:tcPr/>
          <w:p>
            <w:pPr>
              <w:pStyle w:val="Compact"/>
            </w:pPr>
            <w:r>
              <w:t xml:space="preserve">—</w:t>
            </w:r>
          </w:p>
        </w:tc>
        <w:tc>
          <w:tcPr/>
          <w:p>
            <w:pPr>
              <w:pStyle w:val="Compact"/>
            </w:pPr>
            <w:r>
              <w:t xml:space="preserve">Explicit servers to add to the SPN-discovered set</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domain controller; automatic if omitted</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Active Directory search base (DN)</w:t>
            </w:r>
          </w:p>
        </w:tc>
      </w:tr>
      <w:tr>
        <w:tc>
          <w:tcPr/>
          <w:p>
            <w:pPr>
              <w:pStyle w:val="Compact"/>
            </w:pPr>
            <w:r>
              <w:rPr>
                <w:rStyle w:val="VerbatimChar"/>
              </w:rPr>
              <w:t xml:space="preserve">-TestConnectivity</w:t>
            </w:r>
          </w:p>
        </w:tc>
        <w:tc>
          <w:tcPr/>
          <w:p>
            <w:pPr>
              <w:pStyle w:val="Compact"/>
            </w:pPr>
            <w:r>
              <w:t xml:space="preserve">switch</w:t>
            </w:r>
          </w:p>
        </w:tc>
        <w:tc>
          <w:tcPr/>
          <w:p>
            <w:pPr>
              <w:pStyle w:val="Compact"/>
            </w:pPr>
            <w:r>
              <w:t xml:space="preserve">off</w:t>
            </w:r>
          </w:p>
        </w:tc>
        <w:tc>
          <w:tcPr/>
          <w:p>
            <w:pPr>
              <w:pStyle w:val="Compact"/>
            </w:pPr>
            <w:r>
              <w:t xml:space="preserve">Attempt a TCP connection to each discovered instance</w:t>
            </w:r>
          </w:p>
        </w:tc>
      </w:tr>
      <w:tr>
        <w:tc>
          <w:tcPr/>
          <w:p>
            <w:pPr>
              <w:pStyle w:val="Compact"/>
            </w:pPr>
            <w:r>
              <w:rPr>
                <w:rStyle w:val="VerbatimChar"/>
              </w:rPr>
              <w:t xml:space="preserve">-QueryInstances</w:t>
            </w:r>
          </w:p>
        </w:tc>
        <w:tc>
          <w:tcPr/>
          <w:p>
            <w:pPr>
              <w:pStyle w:val="Compact"/>
            </w:pPr>
            <w:r>
              <w:t xml:space="preserve">switch</w:t>
            </w:r>
          </w:p>
        </w:tc>
        <w:tc>
          <w:tcPr/>
          <w:p>
            <w:pPr>
              <w:pStyle w:val="Compact"/>
            </w:pPr>
            <w:r>
              <w:t xml:space="preserve">off</w:t>
            </w:r>
          </w:p>
        </w:tc>
        <w:tc>
          <w:tcPr/>
          <w:p>
            <w:pPr>
              <w:pStyle w:val="Compact"/>
            </w:pPr>
            <w:r>
              <w:t xml:space="preserve">Connect to each instance to audit version, authentication mode, logins and linked servers (</w:t>
            </w:r>
            <w:r>
              <w:rPr>
                <w:b/>
                <w:bCs/>
              </w:rPr>
              <w:t xml:space="preserve">needs SQL Server permissions</w:t>
            </w:r>
            <w:r>
              <w:t xml:space="preserve">)</w:t>
            </w:r>
          </w:p>
        </w:tc>
      </w:tr>
    </w:tbl>
    <w:bookmarkEnd w:id="18"/>
    <w:bookmarkStart w:id="22" w:name="usage"/>
    <w:p>
      <w:pPr>
        <w:pStyle w:val="Heading3"/>
      </w:pPr>
      <w:r>
        <w:t xml:space="preserve">Usage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warning.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your estate</w:t>
            </w:r>
          </w:p>
        </w:tc>
      </w:tr>
      <w:tr>
        <w:trPr>
          <w:cantSplit/>
        </w:trPr>
        <w:tc>
          <w:tcPr>
            <w:tcMar>
              <w:top w:w="108" w:type="dxa"/>
              <w:bottom w:w="108" w:type="dxa"/>
            </w:tcMar>
          </w:tcPr>
          <w:p>
            <w:pPr>
              <w:pStyle w:val="BodyText"/>
            </w:pPr>
            <w:pPr>
              <w:spacing w:before="16" w:after="16"/>
            </w:pPr>
            <w:r>
              <w:t xml:space="preserve">The invocations in this runbook are illustrative. They haven’t been tested against a production forest or SQL Server estate. Review them and run them first in a test environment.</w:t>
            </w:r>
          </w:p>
          <w:p/>
        </w:tc>
      </w:tr>
    </w:tbl>
    <w:p>
      <w:pPr>
        <w:pStyle w:val="BodyText"/>
      </w:pPr>
      <w:r>
        <w:t xml:space="preserve"> </w:t>
      </w:r>
    </w:p>
    <w:p>
      <w:pPr>
        <w:pStyle w:val="SourceCode"/>
      </w:pPr>
      <w:r>
        <w:rPr>
          <w:rStyle w:val="CommentTok"/>
        </w:rPr>
        <w:t xml:space="preserve"># 1. Discovery only (SPNs and host services, no SQL connection): the safest first pass.</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br/>
      </w:r>
      <w:r>
        <w:rPr>
          <w:rStyle w:val="CommentTok"/>
        </w:rPr>
        <w:t xml:space="preserve"># 2. Add hosts that have no MSSQLSvc SPN (for example SQL Server Express on an application server).</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TargetServers </w:t>
      </w:r>
      <w:r>
        <w:rPr>
          <w:rStyle w:val="OperatorTok"/>
        </w:rPr>
        <w:t xml:space="preserve">(</w:t>
      </w:r>
      <w:r>
        <w:rPr>
          <w:rStyle w:val="FunctionTok"/>
        </w:rPr>
        <w:t xml:space="preserve">Get-Content</w:t>
      </w:r>
      <w:r>
        <w:rPr>
          <w:rStyle w:val="NormalTok"/>
        </w:rPr>
        <w:t xml:space="preserve"> </w:t>
      </w:r>
      <w:r>
        <w:rPr>
          <w:rStyle w:val="OperatorTok"/>
        </w:rPr>
        <w:t xml:space="preserve">.</w:t>
      </w:r>
      <w:r>
        <w:rPr>
          <w:rStyle w:val="NormalTok"/>
        </w:rPr>
        <w:t xml:space="preserve">\hosts</w:t>
      </w:r>
      <w:r>
        <w:rPr>
          <w:rStyle w:val="OperatorTok"/>
        </w:rPr>
        <w:t xml:space="preserve">.</w:t>
      </w:r>
      <w:r>
        <w:rPr>
          <w:rStyle w:val="FunctionTok"/>
        </w:rPr>
        <w:t xml:space="preserve">txt</w:t>
      </w:r>
      <w:r>
        <w:rPr>
          <w:rStyle w:val="OperatorTok"/>
        </w:rPr>
        <w:t xml:space="preserve">)</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br/>
      </w:r>
      <w:r>
        <w:rPr>
          <w:rStyle w:val="CommentTok"/>
        </w:rPr>
        <w:t xml:space="preserve"># 3. Deep audit: connects to each instance for version, authentication mode, logins and linked servers.</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QueryInstances </w:t>
      </w:r>
      <w:r>
        <w:rPr>
          <w:rStyle w:val="OperatorTok"/>
        </w:rPr>
        <w:t xml:space="preserve">-</w:t>
      </w:r>
      <w:r>
        <w:rPr>
          <w:rStyle w:val="NormalTok"/>
        </w:rPr>
        <w:t xml:space="preserve">TestConnectivity </w:t>
      </w:r>
      <w:r>
        <w:rPr>
          <w:rStyle w:val="OperatorTok"/>
        </w:rPr>
        <w:t xml:space="preserve">-</w:t>
      </w:r>
      <w:r>
        <w:rPr>
          <w:rStyle w:val="NormalTok"/>
        </w:rPr>
        <w:t xml:space="preserve">OutputPath </w:t>
      </w:r>
      <w:r>
        <w:rPr>
          <w:rStyle w:val="OperatorTok"/>
        </w:rPr>
        <w:t xml:space="preserve">.</w:t>
      </w:r>
      <w:r>
        <w:rPr>
          <w:rStyle w:val="NormalTok"/>
        </w:rPr>
        <w:t xml:space="preserve">\output</w:t>
      </w:r>
    </w:p>
    <w:bookmarkEnd w:id="22"/>
    <w:bookmarkStart w:id="23" w:name="output-schema"/>
    <w:p>
      <w:pPr>
        <w:pStyle w:val="Heading3"/>
      </w:pPr>
      <w:r>
        <w:t xml:space="preserve">Output schema</w:t>
      </w:r>
    </w:p>
    <w:p>
      <w:pPr>
        <w:pStyle w:val="FirstParagraph"/>
      </w:pPr>
      <w:r>
        <w:t xml:space="preserve">Three artifacts under</w:t>
      </w:r>
      <w:r>
        <w:t xml:space="preserve"> </w:t>
      </w:r>
      <w:r>
        <w:rPr>
          <w:rStyle w:val="VerbatimChar"/>
        </w:rPr>
        <w:t xml:space="preserve">-OutputPath</w:t>
      </w:r>
      <w:r>
        <w:t xml:space="preserve">, named</w:t>
      </w:r>
      <w:r>
        <w:t xml:space="preserve"> </w:t>
      </w:r>
      <w:r>
        <w:rPr>
          <w:rStyle w:val="VerbatimChar"/>
        </w:rPr>
        <w:t xml:space="preserve">FMP_Spec3_D1.8_SQLServerAuthAudit_&lt;domain&gt;_&lt;timestamp&gt;</w:t>
      </w:r>
      <w:r>
        <w:t xml:space="preserve">:</w:t>
      </w:r>
    </w:p>
    <w:p>
      <w:pPr>
        <w:pStyle w:val="Compact"/>
        <w:numPr>
          <w:ilvl w:val="0"/>
          <w:numId w:val="1002"/>
        </w:numPr>
      </w:pPr>
      <w:r>
        <w:rPr>
          <w:rStyle w:val="VerbatimChar"/>
          <w:b/>
          <w:bCs/>
        </w:rPr>
        <w:t xml:space="preserve">….json</w:t>
      </w:r>
      <w:r>
        <w:t xml:space="preserve">:</w:t>
      </w:r>
      <w:r>
        <w:t xml:space="preserve"> </w:t>
      </w:r>
      <w:r>
        <w:rPr>
          <w:rStyle w:val="VerbatimChar"/>
        </w:rPr>
        <w:t xml:space="preserve">{ Metadata, Summary, InstanceAudits[] }</w:t>
      </w:r>
      <w:r>
        <w:t xml:space="preserve">. Each</w:t>
      </w:r>
      <w:r>
        <w:t xml:space="preserve"> </w:t>
      </w:r>
      <w:r>
        <w:rPr>
          <w:rStyle w:val="VerbatimChar"/>
        </w:rPr>
        <w:t xml:space="preserve">InstanceAudits</w:t>
      </w:r>
      <w:r>
        <w:t xml:space="preserve"> </w:t>
      </w:r>
      <w:r>
        <w:t xml:space="preserve">entry carries</w:t>
      </w:r>
      <w:r>
        <w:t xml:space="preserve"> </w:t>
      </w:r>
      <w:r>
        <w:rPr>
          <w:rStyle w:val="VerbatimChar"/>
        </w:rPr>
        <w:t xml:space="preserve">ServerName</w:t>
      </w:r>
      <w:r>
        <w:t xml:space="preserve">,</w:t>
      </w:r>
      <w:r>
        <w:t xml:space="preserve"> </w:t>
      </w:r>
      <w:r>
        <w:rPr>
          <w:rStyle w:val="VerbatimChar"/>
        </w:rPr>
        <w:t xml:space="preserve">InstanceName</w:t>
      </w:r>
      <w:r>
        <w:t xml:space="preserve">,</w:t>
      </w:r>
      <w:r>
        <w:t xml:space="preserve"> </w:t>
      </w:r>
      <w:r>
        <w:rPr>
          <w:rStyle w:val="VerbatimChar"/>
        </w:rPr>
        <w:t xml:space="preserve">Port</w:t>
      </w:r>
      <w:r>
        <w:t xml:space="preserve">,</w:t>
      </w:r>
      <w:r>
        <w:t xml:space="preserve"> </w:t>
      </w:r>
      <w:r>
        <w:rPr>
          <w:rStyle w:val="VerbatimChar"/>
        </w:rPr>
        <w:t xml:space="preserve">DiscoveryMethod</w:t>
      </w:r>
      <w:r>
        <w:t xml:space="preserve">,</w:t>
      </w:r>
      <w:r>
        <w:t xml:space="preserve"> </w:t>
      </w:r>
      <w:r>
        <w:rPr>
          <w:rStyle w:val="VerbatimChar"/>
        </w:rPr>
        <w:t xml:space="preserve">SPNRegistration</w:t>
      </w:r>
      <w:r>
        <w:t xml:space="preserve">,</w:t>
      </w:r>
      <w:r>
        <w:t xml:space="preserve"> </w:t>
      </w:r>
      <w:r>
        <w:rPr>
          <w:rStyle w:val="VerbatimChar"/>
        </w:rPr>
        <w:t xml:space="preserve">ServiceAccountName</w:t>
      </w:r>
      <w:r>
        <w:t xml:space="preserve">, the</w:t>
      </w:r>
      <w:r>
        <w:t xml:space="preserve"> </w:t>
      </w:r>
      <w:r>
        <w:rPr>
          <w:rStyle w:val="VerbatimChar"/>
        </w:rPr>
        <w:t xml:space="preserve">SQLServiceAccount</w:t>
      </w:r>
      <w:r>
        <w:t xml:space="preserve">,</w:t>
      </w:r>
      <w:r>
        <w:t xml:space="preserve"> </w:t>
      </w:r>
      <w:r>
        <w:rPr>
          <w:rStyle w:val="VerbatimChar"/>
        </w:rPr>
        <w:t xml:space="preserve">SQLAgentAccount</w:t>
      </w:r>
      <w:r>
        <w:t xml:space="preserve">,</w:t>
      </w:r>
      <w:r>
        <w:t xml:space="preserve"> </w:t>
      </w:r>
      <w:r>
        <w:rPr>
          <w:rStyle w:val="VerbatimChar"/>
        </w:rPr>
        <w:t xml:space="preserve">SSRSAccount</w:t>
      </w:r>
      <w:r>
        <w:t xml:space="preserve">,</w:t>
      </w:r>
      <w:r>
        <w:t xml:space="preserve"> </w:t>
      </w:r>
      <w:r>
        <w:rPr>
          <w:rStyle w:val="VerbatimChar"/>
        </w:rPr>
        <w:t xml:space="preserve">SSISAccount</w:t>
      </w:r>
      <w:r>
        <w:t xml:space="preserve"> </w:t>
      </w:r>
      <w:r>
        <w:t xml:space="preserve">and</w:t>
      </w:r>
      <w:r>
        <w:t xml:space="preserve"> </w:t>
      </w:r>
      <w:r>
        <w:rPr>
          <w:rStyle w:val="VerbatimChar"/>
        </w:rPr>
        <w:t xml:space="preserve">SSASAccount</w:t>
      </w:r>
      <w:r>
        <w:t xml:space="preserve"> </w:t>
      </w:r>
      <w:r>
        <w:t xml:space="preserve">service identities,</w:t>
      </w:r>
      <w:r>
        <w:t xml:space="preserve"> </w:t>
      </w:r>
      <w:r>
        <w:rPr>
          <w:rStyle w:val="VerbatimChar"/>
        </w:rPr>
        <w:t xml:space="preserve">AuthenticationMode</w:t>
      </w:r>
      <w:r>
        <w:t xml:space="preserve">,</w:t>
      </w:r>
      <w:r>
        <w:t xml:space="preserve"> </w:t>
      </w:r>
      <w:r>
        <w:rPr>
          <w:rStyle w:val="VerbatimChar"/>
        </w:rPr>
        <w:t xml:space="preserve">SQLVersion</w:t>
      </w:r>
      <w:r>
        <w:t xml:space="preserve">,</w:t>
      </w:r>
      <w:r>
        <w:t xml:space="preserve"> </w:t>
      </w:r>
      <w:r>
        <w:rPr>
          <w:rStyle w:val="VerbatimChar"/>
        </w:rPr>
        <w:t xml:space="preserve">SQLVersionMajor</w:t>
      </w:r>
      <w:r>
        <w:t xml:space="preserve">,</w:t>
      </w:r>
      <w:r>
        <w:t xml:space="preserve"> </w:t>
      </w:r>
      <w:r>
        <w:rPr>
          <w:rStyle w:val="VerbatimChar"/>
        </w:rPr>
        <w:t xml:space="preserve">SQLEdition</w:t>
      </w:r>
      <w:r>
        <w:t xml:space="preserve">,</w:t>
      </w:r>
      <w:r>
        <w:t xml:space="preserve"> </w:t>
      </w:r>
      <w:r>
        <w:rPr>
          <w:rStyle w:val="VerbatimChar"/>
        </w:rPr>
        <w:t xml:space="preserve">TCPReachable</w:t>
      </w:r>
      <w:r>
        <w:t xml:space="preserve">,</w:t>
      </w:r>
      <w:r>
        <w:t xml:space="preserve"> </w:t>
      </w:r>
      <w:r>
        <w:rPr>
          <w:rStyle w:val="VerbatimChar"/>
          <w:b/>
          <w:bCs/>
        </w:rPr>
        <w:t xml:space="preserve">EntraIDReady</w:t>
      </w:r>
      <w:r>
        <w:t xml:space="preserve">,</w:t>
      </w:r>
      <w:r>
        <w:t xml:space="preserve"> </w:t>
      </w:r>
      <w:r>
        <w:rPr>
          <w:rStyle w:val="VerbatimChar"/>
          <w:b/>
          <w:bCs/>
        </w:rPr>
        <w:t xml:space="preserve">EntraIDBlockers[]</w:t>
      </w:r>
      <w:r>
        <w:t xml:space="preserve">,</w:t>
      </w:r>
      <w:r>
        <w:t xml:space="preserve"> </w:t>
      </w:r>
      <w:r>
        <w:rPr>
          <w:rStyle w:val="VerbatimChar"/>
        </w:rPr>
        <w:t xml:space="preserve">MigrationTarget</w:t>
      </w:r>
      <w:r>
        <w:t xml:space="preserve">,</w:t>
      </w:r>
      <w:r>
        <w:t xml:space="preserve"> </w:t>
      </w:r>
      <w:r>
        <w:rPr>
          <w:rStyle w:val="VerbatimChar"/>
        </w:rPr>
        <w:t xml:space="preserve">MigrationComplexity</w:t>
      </w:r>
      <w:r>
        <w:t xml:space="preserve">, and the</w:t>
      </w:r>
      <w:r>
        <w:t xml:space="preserve"> </w:t>
      </w:r>
      <w:r>
        <w:rPr>
          <w:rStyle w:val="VerbatimChar"/>
        </w:rPr>
        <w:t xml:space="preserve">SQLLogins</w:t>
      </w:r>
      <w:r>
        <w:t xml:space="preserve">,</w:t>
      </w:r>
      <w:r>
        <w:t xml:space="preserve"> </w:t>
      </w:r>
      <w:r>
        <w:rPr>
          <w:rStyle w:val="VerbatimChar"/>
        </w:rPr>
        <w:t xml:space="preserve">WindowsLogins</w:t>
      </w:r>
      <w:r>
        <w:t xml:space="preserve">,</w:t>
      </w:r>
      <w:r>
        <w:t xml:space="preserve"> </w:t>
      </w:r>
      <w:r>
        <w:rPr>
          <w:rStyle w:val="VerbatimChar"/>
        </w:rPr>
        <w:t xml:space="preserve">OrphanedLogins</w:t>
      </w:r>
      <w:r>
        <w:t xml:space="preserve"> </w:t>
      </w:r>
      <w:r>
        <w:t xml:space="preserve">and</w:t>
      </w:r>
      <w:r>
        <w:t xml:space="preserve"> </w:t>
      </w:r>
      <w:r>
        <w:rPr>
          <w:rStyle w:val="VerbatimChar"/>
        </w:rPr>
        <w:t xml:space="preserve">LinkedServers</w:t>
      </w:r>
      <w:r>
        <w:t xml:space="preserve"> </w:t>
      </w:r>
      <w:r>
        <w:t xml:space="preserve">arrays.</w:t>
      </w:r>
    </w:p>
    <w:p>
      <w:pPr>
        <w:pStyle w:val="Compact"/>
        <w:numPr>
          <w:ilvl w:val="0"/>
          <w:numId w:val="1002"/>
        </w:numPr>
      </w:pPr>
      <w:r>
        <w:rPr>
          <w:rStyle w:val="VerbatimChar"/>
          <w:b/>
          <w:bCs/>
        </w:rPr>
        <w:t xml:space="preserve">…_instances.csv</w:t>
      </w:r>
      <w:r>
        <w:t xml:space="preserve">: the flattened per-instance inventory (authentication mode, service accounts, login counts, orphaned logins, linked servers, readiness).</w:t>
      </w:r>
    </w:p>
    <w:p>
      <w:pPr>
        <w:pStyle w:val="Compact"/>
        <w:numPr>
          <w:ilvl w:val="0"/>
          <w:numId w:val="1002"/>
        </w:numPr>
      </w:pPr>
      <w:r>
        <w:rPr>
          <w:rStyle w:val="VerbatimChar"/>
          <w:b/>
          <w:bCs/>
        </w:rPr>
        <w:t xml:space="preserve">…_logins.csv</w:t>
      </w:r>
      <w:r>
        <w:t xml:space="preserve">: per-login detail, with columns</w:t>
      </w:r>
      <w:r>
        <w:t xml:space="preserve"> </w:t>
      </w:r>
      <w:r>
        <w:rPr>
          <w:rStyle w:val="VerbatimChar"/>
        </w:rPr>
        <w:t xml:space="preserve">ServerName</w:t>
      </w:r>
      <w:r>
        <w:t xml:space="preserve">,</w:t>
      </w:r>
      <w:r>
        <w:t xml:space="preserve"> </w:t>
      </w:r>
      <w:r>
        <w:rPr>
          <w:rStyle w:val="VerbatimChar"/>
        </w:rPr>
        <w:t xml:space="preserve">InstanceName</w:t>
      </w:r>
      <w:r>
        <w:t xml:space="preserve">,</w:t>
      </w:r>
      <w:r>
        <w:t xml:space="preserve"> </w:t>
      </w:r>
      <w:r>
        <w:rPr>
          <w:rStyle w:val="VerbatimChar"/>
        </w:rPr>
        <w:t xml:space="preserve">LoginName</w:t>
      </w:r>
      <w:r>
        <w:t xml:space="preserve">,</w:t>
      </w:r>
      <w:r>
        <w:t xml:space="preserve"> </w:t>
      </w:r>
      <w:r>
        <w:rPr>
          <w:rStyle w:val="VerbatimChar"/>
        </w:rPr>
        <w:t xml:space="preserve">LoginType</w:t>
      </w:r>
      <w:r>
        <w:t xml:space="preserve"> </w:t>
      </w:r>
      <w:r>
        <w:t xml:space="preserve">(</w:t>
      </w:r>
      <w:r>
        <w:rPr>
          <w:rStyle w:val="VerbatimChar"/>
        </w:rPr>
        <w:t xml:space="preserve">SQL_LOGIN</w:t>
      </w:r>
      <w:r>
        <w:t xml:space="preserve">,</w:t>
      </w:r>
      <w:r>
        <w:t xml:space="preserve"> </w:t>
      </w:r>
      <w:r>
        <w:rPr>
          <w:rStyle w:val="VerbatimChar"/>
        </w:rPr>
        <w:t xml:space="preserve">WINDOWS_LOGIN</w:t>
      </w:r>
      <w:r>
        <w:t xml:space="preserve"> </w:t>
      </w:r>
      <w:r>
        <w:t xml:space="preserve">or</w:t>
      </w:r>
      <w:r>
        <w:t xml:space="preserve"> </w:t>
      </w:r>
      <w:r>
        <w:rPr>
          <w:rStyle w:val="VerbatimChar"/>
        </w:rPr>
        <w:t xml:space="preserve">WINDOWS_GROUP</w:t>
      </w:r>
      <w:r>
        <w:t xml:space="preserve">),</w:t>
      </w:r>
      <w:r>
        <w:t xml:space="preserve"> </w:t>
      </w:r>
      <w:r>
        <w:rPr>
          <w:rStyle w:val="VerbatimChar"/>
        </w:rPr>
        <w:t xml:space="preserve">IsDisabled</w:t>
      </w:r>
      <w:r>
        <w:t xml:space="preserve">,</w:t>
      </w:r>
      <w:r>
        <w:t xml:space="preserve"> </w:t>
      </w:r>
      <w:r>
        <w:rPr>
          <w:rStyle w:val="VerbatimChar"/>
        </w:rPr>
        <w:t xml:space="preserve">IsSA</w:t>
      </w:r>
      <w:r>
        <w:t xml:space="preserve">,</w:t>
      </w:r>
      <w:r>
        <w:t xml:space="preserve"> </w:t>
      </w:r>
      <w:r>
        <w:rPr>
          <w:rStyle w:val="VerbatimChar"/>
        </w:rPr>
        <w:t xml:space="preserve">CreatedDate</w:t>
      </w:r>
      <w:r>
        <w:t xml:space="preserve"> </w:t>
      </w:r>
      <w:r>
        <w:t xml:space="preserve">and</w:t>
      </w:r>
      <w:r>
        <w:t xml:space="preserve"> </w:t>
      </w:r>
      <w:r>
        <w:rPr>
          <w:rStyle w:val="VerbatimChar"/>
        </w:rPr>
        <w:t xml:space="preserve">PasswordLastSet</w:t>
      </w:r>
      <w:r>
        <w:t xml:space="preserve"> </w:t>
      </w:r>
      <w:r>
        <w:t xml:space="preserve">(SQL logins only). It is written only when</w:t>
      </w:r>
      <w:r>
        <w:t xml:space="preserve"> </w:t>
      </w:r>
      <w:r>
        <w:rPr>
          <w:rStyle w:val="VerbatimChar"/>
        </w:rPr>
        <w:t xml:space="preserve">-QueryInstances</w:t>
      </w:r>
      <w:r>
        <w:t xml:space="preserve"> </w:t>
      </w:r>
      <w:r>
        <w:t xml:space="preserve">returned logins.</w:t>
      </w:r>
    </w:p>
    <w:p>
      <w:pPr>
        <w:pStyle w:val="FirstParagraph"/>
      </w:pPr>
      <w:r>
        <w:t xml:space="preserve">Version, authentication mode, the login arrays and the linked servers come from the instance connection. In a discovery-only run they read</w:t>
      </w:r>
      <w:r>
        <w:t xml:space="preserve"> </w:t>
      </w:r>
      <w:r>
        <w:rPr>
          <w:rStyle w:val="VerbatimChar"/>
        </w:rPr>
        <w:t xml:space="preserve">Unknown</w:t>
      </w:r>
      <w:r>
        <w:t xml:space="preserve"> </w:t>
      </w:r>
      <w:r>
        <w:t xml:space="preserve">or are empty, and</w:t>
      </w:r>
      <w:r>
        <w:t xml:space="preserve"> </w:t>
      </w:r>
      <w:r>
        <w:rPr>
          <w:rStyle w:val="VerbatimChar"/>
        </w:rPr>
        <w:t xml:space="preserve">EntraIDReady</w:t>
      </w:r>
      <w:r>
        <w:t xml:space="preserve"> </w:t>
      </w:r>
      <w:r>
        <w:t xml:space="preserve">is</w:t>
      </w:r>
      <w:r>
        <w:t xml:space="preserve"> </w:t>
      </w:r>
      <w:r>
        <w:rPr>
          <w:rStyle w:val="VerbatimChar"/>
        </w:rPr>
        <w:t xml:space="preserve">false</w:t>
      </w:r>
      <w:r>
        <w:t xml:space="preserve">.</w:t>
      </w:r>
    </w:p>
    <w:bookmarkEnd w:id="23"/>
    <w:bookmarkStart w:id="29" w:name="reading-the-result-migration-readiness"/>
    <w:p>
      <w:pPr>
        <w:pStyle w:val="Heading3"/>
      </w:pPr>
      <w:r>
        <w:t xml:space="preserve">Reading the result: migration readiness</w:t>
      </w:r>
    </w:p>
    <w:p>
      <w:pPr>
        <w:pStyle w:val="FirstParagraph"/>
      </w:pPr>
      <w:r>
        <w:t xml:space="preserve">The script computes</w:t>
      </w:r>
      <w:r>
        <w:t xml:space="preserve"> </w:t>
      </w:r>
      <w:r>
        <w:rPr>
          <w:rStyle w:val="VerbatimChar"/>
        </w:rPr>
        <w:t xml:space="preserve">MigrationTarget</w:t>
      </w:r>
      <w:r>
        <w:t xml:space="preserve"> </w:t>
      </w:r>
      <w:r>
        <w:t xml:space="preserve">and</w:t>
      </w:r>
      <w:r>
        <w:t xml:space="preserve"> </w:t>
      </w:r>
      <w:r>
        <w:rPr>
          <w:rStyle w:val="VerbatimChar"/>
        </w:rPr>
        <w:t xml:space="preserve">EntraIDBlockers</w:t>
      </w:r>
      <w:r>
        <w:t xml:space="preserve"> </w:t>
      </w:r>
      <w:r>
        <w:t xml:space="preserve">for you:</w:t>
      </w:r>
    </w:p>
    <w:p>
      <w:pPr>
        <w:pStyle w:val="Compact"/>
        <w:numPr>
          <w:ilvl w:val="0"/>
          <w:numId w:val="1003"/>
        </w:numPr>
      </w:pPr>
      <w:r>
        <w:rPr>
          <w:b/>
          <w:bCs/>
        </w:rPr>
        <w:t xml:space="preserve">SQL Server 2022 or later (major version 16 or higher)</w:t>
      </w:r>
      <w:r>
        <w:t xml:space="preserve"> </w:t>
      </w:r>
      <w:r>
        <w:t xml:space="preserve">gets</w:t>
      </w:r>
      <w:r>
        <w:t xml:space="preserve"> </w:t>
      </w:r>
      <w:r>
        <w:t xml:space="preserve">“Enable Entra ID auth via Azure Arc.”</w:t>
      </w:r>
      <w:r>
        <w:t xml:space="preserve"> </w:t>
      </w:r>
      <w:r>
        <w:t xml:space="preserve">It’s ready once Arc-connected and configured (</w:t>
      </w:r>
      <w:hyperlink r:id="rId24">
        <w:r>
          <w:rPr>
            <w:rStyle w:val="Hyperlink"/>
          </w:rPr>
          <w:t xml:space="preserve">Runbook R04</w:t>
        </w:r>
      </w:hyperlink>
      <w:r>
        <w:t xml:space="preserve">). Microsoft Entra authentication for SQL Server on premises starts with SQL Server 2022.</w:t>
      </w:r>
      <w:r>
        <w:rPr>
          <w:rStyle w:val="FootnoteReference"/>
        </w:rPr>
        <w:footnoteReference w:id="25"/>
      </w:r>
    </w:p>
    <w:p>
      <w:pPr>
        <w:pStyle w:val="Compact"/>
        <w:numPr>
          <w:ilvl w:val="0"/>
          <w:numId w:val="1003"/>
        </w:numPr>
      </w:pPr>
      <w:r>
        <w:rPr>
          <w:b/>
          <w:bCs/>
        </w:rPr>
        <w:t xml:space="preserve">SQL Server 2019 and earlier</w:t>
      </w:r>
      <w:r>
        <w:t xml:space="preserve"> </w:t>
      </w:r>
      <w:r>
        <w:t xml:space="preserve">gets</w:t>
      </w:r>
      <w:r>
        <w:t xml:space="preserve"> </w:t>
      </w:r>
      <w:r>
        <w:t xml:space="preserve">“Upgrade to SQL 2022 + Arc, then Entra ID auth.”</w:t>
      </w:r>
      <w:r>
        <w:t xml:space="preserve"> </w:t>
      </w:r>
      <w:r>
        <w:t xml:space="preserve">Version is the gate (Category 3 in</w:t>
      </w:r>
      <w:r>
        <w:t xml:space="preserve"> </w:t>
      </w:r>
      <w:hyperlink r:id="rId12">
        <w:r>
          <w:rPr>
            <w:rStyle w:val="Hyperlink"/>
          </w:rPr>
          <w:t xml:space="preserve">Chapter 07</w:t>
        </w:r>
      </w:hyperlink>
      <w:r>
        <w:t xml:space="preserve">).</w:t>
      </w:r>
    </w:p>
    <w:p>
      <w:pPr>
        <w:pStyle w:val="Compact"/>
        <w:numPr>
          <w:ilvl w:val="0"/>
          <w:numId w:val="1003"/>
        </w:numPr>
      </w:pPr>
      <w:r>
        <w:rPr>
          <w:b/>
          <w:bCs/>
        </w:rPr>
        <w:t xml:space="preserve">Blockers</w:t>
      </w:r>
      <w:r>
        <w:t xml:space="preserve"> </w:t>
      </w:r>
      <w:r>
        <w:t xml:space="preserve">flagged in</w:t>
      </w:r>
      <w:r>
        <w:t xml:space="preserve"> </w:t>
      </w:r>
      <w:r>
        <w:rPr>
          <w:rStyle w:val="VerbatimChar"/>
        </w:rPr>
        <w:t xml:space="preserve">EntraIDBlockers</w:t>
      </w:r>
      <w:r>
        <w:t xml:space="preserve">: mixed-mode authentication, an</w:t>
      </w:r>
      <w:r>
        <w:t xml:space="preserve"> </w:t>
      </w:r>
      <w:r>
        <w:rPr>
          <w:b/>
          <w:bCs/>
        </w:rPr>
        <w:t xml:space="preserve">enabled</w:t>
      </w:r>
      <w:r>
        <w:rPr>
          <w:b/>
          <w:bCs/>
        </w:rPr>
        <w:t xml:space="preserve"> </w:t>
      </w:r>
      <w:r>
        <w:rPr>
          <w:rStyle w:val="VerbatimChar"/>
          <w:b/>
          <w:bCs/>
        </w:rPr>
        <w:t xml:space="preserve">sa</w:t>
      </w:r>
      <w:r>
        <w:rPr>
          <w:b/>
          <w:bCs/>
        </w:rPr>
        <w:t xml:space="preserve"> </w:t>
      </w:r>
      <w:r>
        <w:rPr>
          <w:b/>
          <w:bCs/>
        </w:rPr>
        <w:t xml:space="preserve">account</w:t>
      </w:r>
      <w:r>
        <w:t xml:space="preserve">, orphaned logins and linked servers. Each is a remediation item before cutover; logins are handled in</w:t>
      </w:r>
      <w:r>
        <w:t xml:space="preserve"> </w:t>
      </w:r>
      <w:hyperlink r:id="rId27">
        <w:r>
          <w:rPr>
            <w:rStyle w:val="Hyperlink"/>
          </w:rPr>
          <w:t xml:space="preserve">Runbook R05</w:t>
        </w:r>
      </w:hyperlink>
      <w:r>
        <w:t xml:space="preserve">.</w:t>
      </w:r>
    </w:p>
    <w:p>
      <w:pPr>
        <w:pStyle w:val="FirstParagraph"/>
      </w:pPr>
      <w:r>
        <w:t xml:space="preserve">The script doesn’t detect the one hard platform blocker: Microsoft Entra authentication isn’t supported on SQL Server failover cluster instances.</w:t>
      </w:r>
      <w:r>
        <w:rPr>
          <w:rStyle w:val="FootnoteReference"/>
        </w:rPr>
        <w:footnoteReference w:id="28"/>
      </w:r>
      <w:r>
        <w:t xml:space="preserve"> </w:t>
      </w:r>
      <w:r>
        <w:t xml:space="preserve">Flag clustered instances from your cluster inventory and treat them as Category 3 until they’re re-platformed or excepted.</w:t>
      </w:r>
    </w:p>
    <w:bookmarkEnd w:id="29"/>
    <w:bookmarkEnd w:id="30"/>
    <w:bookmarkStart w:id="40" w:name="the-supporting-discovery-family"/>
    <w:p>
      <w:pPr>
        <w:pStyle w:val="Heading2"/>
      </w:pPr>
      <w:r>
        <w:t xml:space="preserve">The supporting discovery family</w:t>
      </w:r>
    </w:p>
    <w:p>
      <w:pPr>
        <w:pStyle w:val="FirstParagraph"/>
      </w:pPr>
      <w:r>
        <w:rPr>
          <w:rStyle w:val="VerbatimChar"/>
        </w:rPr>
        <w:t xml:space="preserve">Get-SQLServerAuthAudit</w:t>
      </w:r>
      <w:r>
        <w:t xml:space="preserve"> </w:t>
      </w:r>
      <w:r>
        <w:t xml:space="preserve">is most useful when cross-referenced against the rest of the Spec family. These are the ones that matter for SQL Server: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Script</w:t>
            </w:r>
          </w:p>
        </w:tc>
        <w:tc>
          <w:tcPr/>
          <w:p>
            <w:pPr>
              <w:pStyle w:val="Compact"/>
            </w:pPr>
            <w:r>
              <w:t xml:space="preserve">Spec</w:t>
            </w:r>
          </w:p>
        </w:tc>
        <w:tc>
          <w:tcPr/>
          <w:p>
            <w:pPr>
              <w:pStyle w:val="Compact"/>
            </w:pPr>
            <w:r>
              <w:t xml:space="preserve">What it gives you</w:t>
            </w:r>
          </w:p>
        </w:tc>
        <w:tc>
          <w:tcPr/>
          <w:p>
            <w:pPr>
              <w:pStyle w:val="Compact"/>
            </w:pPr>
            <w:r>
              <w:t xml:space="preserve">Used by</w:t>
            </w:r>
          </w:p>
        </w:tc>
      </w:tr>
      <w:tr>
        <w:tc>
          <w:tcPr/>
          <w:p>
            <w:pPr>
              <w:pStyle w:val="Compact"/>
            </w:pPr>
            <w:r>
              <w:rPr>
                <w:rStyle w:val="VerbatimChar"/>
              </w:rPr>
              <w:t xml:space="preserve">Spec1-D1.5-Get-KerberosSPNInventory.ps1</w:t>
            </w:r>
          </w:p>
        </w:tc>
        <w:tc>
          <w:tcPr/>
          <w:p>
            <w:pPr>
              <w:pStyle w:val="Compact"/>
            </w:pPr>
            <w:r>
              <w:t xml:space="preserve">D1.5</w:t>
            </w:r>
          </w:p>
        </w:tc>
        <w:tc>
          <w:tcPr/>
          <w:p>
            <w:pPr>
              <w:pStyle w:val="Compact"/>
            </w:pPr>
            <w:r>
              <w:t xml:space="preserve">Every SPN in the domain, including</w:t>
            </w:r>
            <w:r>
              <w:t xml:space="preserve"> </w:t>
            </w:r>
            <w:r>
              <w:rPr>
                <w:rStyle w:val="VerbatimChar"/>
              </w:rPr>
              <w:t xml:space="preserve">MSSQLSvc</w:t>
            </w:r>
            <w:r>
              <w:t xml:space="preserve">, with duplicates, orphans and a per-service-class migration target</w:t>
            </w:r>
          </w:p>
        </w:tc>
        <w:tc>
          <w:tcPr/>
          <w:p>
            <w:pPr>
              <w:pStyle w:val="Compact"/>
            </w:pPr>
            <w:r>
              <w:t xml:space="preserve">the</w:t>
            </w:r>
            <w:r>
              <w:t xml:space="preserve"> </w:t>
            </w:r>
            <w:hyperlink r:id="rId31">
              <w:r>
                <w:rPr>
                  <w:rStyle w:val="Hyperlink"/>
                </w:rPr>
                <w:t xml:space="preserve">R02</w:t>
              </w:r>
            </w:hyperlink>
            <w:r>
              <w:t xml:space="preserve"> </w:t>
            </w:r>
            <w:r>
              <w:t xml:space="preserve">inventory and</w:t>
            </w:r>
            <w:r>
              <w:t xml:space="preserve"> </w:t>
            </w:r>
            <w:hyperlink r:id="rId32">
              <w:r>
                <w:rPr>
                  <w:rStyle w:val="Hyperlink"/>
                </w:rPr>
                <w:t xml:space="preserve">Runbook R06</w:t>
              </w:r>
            </w:hyperlink>
          </w:p>
        </w:tc>
      </w:tr>
      <w:tr>
        <w:tc>
          <w:tcPr/>
          <w:p>
            <w:pPr>
              <w:pStyle w:val="Compact"/>
            </w:pPr>
            <w:r>
              <w:rPr>
                <w:rStyle w:val="VerbatimChar"/>
              </w:rPr>
              <w:t xml:space="preserve">Spec3-D1.7-Get-SPNCollisionReport.ps1</w:t>
            </w:r>
          </w:p>
        </w:tc>
        <w:tc>
          <w:tcPr/>
          <w:p>
            <w:pPr>
              <w:pStyle w:val="Compact"/>
            </w:pPr>
            <w:r>
              <w:t xml:space="preserve">D1.7</w:t>
            </w:r>
          </w:p>
        </w:tc>
        <w:tc>
          <w:tcPr/>
          <w:p>
            <w:pPr>
              <w:pStyle w:val="Compact"/>
            </w:pPr>
            <w:r>
              <w:t xml:space="preserve">SPN collisions, which cause Kerberos authentication failures and push connections to NTLM</w:t>
            </w:r>
            <w:r>
              <w:rPr>
                <w:rStyle w:val="FootnoteReference"/>
              </w:rPr>
              <w:footnoteReference w:id="33"/>
            </w:r>
          </w:p>
        </w:tc>
        <w:tc>
          <w:tcPr/>
          <w:p>
            <w:pPr>
              <w:pStyle w:val="Compact"/>
            </w:pPr>
            <w:hyperlink r:id="rId32">
              <w:r>
                <w:rPr>
                  <w:rStyle w:val="Hyperlink"/>
                </w:rPr>
                <w:t xml:space="preserve">Runbook R06</w:t>
              </w:r>
            </w:hyperlink>
          </w:p>
        </w:tc>
      </w:tr>
      <w:tr>
        <w:tc>
          <w:tcPr/>
          <w:p>
            <w:pPr>
              <w:pStyle w:val="Compact"/>
            </w:pPr>
            <w:r>
              <w:rPr>
                <w:rStyle w:val="VerbatimChar"/>
              </w:rPr>
              <w:t xml:space="preserve">Spec1-D1.4-Get-AuthenticationProtocolAudit.ps1</w:t>
            </w:r>
          </w:p>
        </w:tc>
        <w:tc>
          <w:tcPr/>
          <w:p>
            <w:pPr>
              <w:pStyle w:val="Compact"/>
            </w:pPr>
            <w:r>
              <w:t xml:space="preserve">D1.4</w:t>
            </w:r>
          </w:p>
        </w:tc>
        <w:tc>
          <w:tcPr/>
          <w:p>
            <w:pPr>
              <w:pStyle w:val="Compact"/>
            </w:pPr>
            <w:r>
              <w:t xml:space="preserve">Delegation (unconstrained, constrained, resource-based) and NTLM dependency indicators on computer objects</w:t>
            </w:r>
          </w:p>
        </w:tc>
        <w:tc>
          <w:tcPr/>
          <w:p>
            <w:pPr>
              <w:pStyle w:val="Compact"/>
            </w:pPr>
            <w:hyperlink r:id="rId32">
              <w:r>
                <w:rPr>
                  <w:rStyle w:val="Hyperlink"/>
                </w:rPr>
                <w:t xml:space="preserve">Runbook R06</w:t>
              </w:r>
            </w:hyperlink>
          </w:p>
        </w:tc>
      </w:tr>
      <w:tr>
        <w:tc>
          <w:tcPr/>
          <w:p>
            <w:pPr>
              <w:pStyle w:val="Compact"/>
            </w:pPr>
            <w:r>
              <w:rPr>
                <w:rStyle w:val="VerbatimChar"/>
              </w:rPr>
              <w:t xml:space="preserve">Spec3-D1.10-Get-CertBasedAuthAudit.ps1</w:t>
            </w:r>
          </w:p>
        </w:tc>
        <w:tc>
          <w:tcPr/>
          <w:p>
            <w:pPr>
              <w:pStyle w:val="Compact"/>
            </w:pPr>
            <w:r>
              <w:t xml:space="preserve">D1.10</w:t>
            </w:r>
          </w:p>
        </w:tc>
        <w:tc>
          <w:tcPr/>
          <w:p>
            <w:pPr>
              <w:pStyle w:val="Compact"/>
            </w:pPr>
            <w:r>
              <w:t xml:space="preserve">Certificate-based authentication dependencies across the directory: the PKI inventory, machine and user certificates, smart-card-required accounts (</w:t>
            </w:r>
            <w:hyperlink r:id="rId35">
              <w:r>
                <w:rPr>
                  <w:rStyle w:val="Hyperlink"/>
                </w:rPr>
                <w:t xml:space="preserve">Chapter 22</w:t>
              </w:r>
            </w:hyperlink>
            <w:r>
              <w:t xml:space="preserve">)</w:t>
            </w:r>
          </w:p>
        </w:tc>
        <w:tc>
          <w:tcPr/>
          <w:p>
            <w:pPr>
              <w:pStyle w:val="Compact"/>
            </w:pPr>
            <w:hyperlink r:id="rId36">
              <w:r>
                <w:rPr>
                  <w:rStyle w:val="Hyperlink"/>
                </w:rPr>
                <w:t xml:space="preserve">Runbook R10</w:t>
              </w:r>
            </w:hyperlink>
          </w:p>
        </w:tc>
      </w:tr>
      <w:tr>
        <w:tc>
          <w:tcPr/>
          <w:p>
            <w:pPr>
              <w:pStyle w:val="Compact"/>
            </w:pPr>
            <w:r>
              <w:rPr>
                <w:rStyle w:val="VerbatimChar"/>
              </w:rPr>
              <w:t xml:space="preserve">Spec3-D1.12-New-ServiceAccountOwnerMatrix.ps1</w:t>
            </w:r>
          </w:p>
        </w:tc>
        <w:tc>
          <w:tcPr/>
          <w:p>
            <w:pPr>
              <w:pStyle w:val="Compact"/>
            </w:pPr>
            <w:r>
              <w:t xml:space="preserve">D1.12</w:t>
            </w:r>
          </w:p>
        </w:tc>
        <w:tc>
          <w:tcPr/>
          <w:p>
            <w:pPr>
              <w:pStyle w:val="Compact"/>
            </w:pPr>
            <w:r>
              <w:t xml:space="preserve">The owner-to-service-account matrix and migration waves, built from whichever D1.x outputs you pass it (the D1.8 audit via</w:t>
            </w:r>
            <w:r>
              <w:t xml:space="preserve"> </w:t>
            </w:r>
            <w:r>
              <w:rPr>
                <w:rStyle w:val="VerbatimChar"/>
              </w:rPr>
              <w:t xml:space="preserve">-D8InputFile</w:t>
            </w:r>
            <w:r>
              <w:t xml:space="preserve">)</w:t>
            </w:r>
          </w:p>
        </w:tc>
        <w:tc>
          <w:tcPr/>
          <w:p>
            <w:pPr>
              <w:pStyle w:val="Compact"/>
            </w:pPr>
            <w:r>
              <w:t xml:space="preserve">program planning</w:t>
            </w:r>
          </w:p>
        </w:tc>
      </w:tr>
    </w:tbl>
    <w:p>
      <w:pPr>
        <w:pStyle w:val="BodyText"/>
      </w:pPr>
      <w:r>
        <w:t xml:space="preserve">Run order for the SQL Server slice:</w:t>
      </w:r>
      <w:r>
        <w:t xml:space="preserve"> </w:t>
      </w:r>
      <w:r>
        <w:rPr>
          <w:b/>
          <w:bCs/>
        </w:rPr>
        <w:t xml:space="preserve">D1.5 and D1.7, then D1.8</w:t>
      </w:r>
      <w:r>
        <w:t xml:space="preserve">, then</w:t>
      </w:r>
      <w:r>
        <w:t xml:space="preserve"> </w:t>
      </w:r>
      <w:r>
        <w:rPr>
          <w:rStyle w:val="VerbatimChar"/>
        </w:rPr>
        <w:t xml:space="preserve">D1.12</w:t>
      </w:r>
      <w:r>
        <w:t xml:space="preserve"> </w:t>
      </w:r>
      <w:r>
        <w:t xml:space="preserve">to assign owners and waves across everything.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8" name="Picture"/>
                  <a:graphic>
                    <a:graphicData uri="http://schemas.openxmlformats.org/drawingml/2006/picture">
                      <pic:pic>
                        <pic:nvPicPr>
                          <pic:cNvPr descr="/opt/quarto/share/formats/docx/important.png" id="39" name="Picture"/>
                          <pic:cNvPicPr>
                            <a:picLocks noChangeArrowheads="1" noChangeAspect="1"/>
                          </pic:cNvPicPr>
                        </pic:nvPicPr>
                        <pic:blipFill>
                          <a:blip r:embed="rId3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Known defects in the input handoff</w:t>
            </w:r>
          </w:p>
        </w:tc>
      </w:tr>
      <w:tr>
        <w:trPr>
          <w:cantSplit/>
        </w:trPr>
        <w:tc>
          <w:tcPr>
            <w:tcMar>
              <w:top w:w="108" w:type="dxa"/>
              <w:bottom w:w="108" w:type="dxa"/>
            </w:tcMar>
          </w:tcPr>
          <w:p>
            <w:pPr>
              <w:pStyle w:val="BodyText"/>
            </w:pPr>
            <w:pPr>
              <w:spacing w:before="16"/>
            </w:pPr>
            <w:r>
              <w:t xml:space="preserve">As reviewed for this edition, two script inputs don’t match what their producers emit. Work around them until the program’s scripts are reconciled:</w:t>
            </w:r>
          </w:p>
          <w:p>
            <w:pPr>
              <w:pStyle w:val="Compact"/>
              <w:numPr>
                <w:ilvl w:val="0"/>
                <w:numId w:val="1004"/>
              </w:numPr>
            </w:pPr>
            <w:r>
              <w:rPr>
                <w:rStyle w:val="VerbatimChar"/>
                <w:b/>
                <w:bCs/>
              </w:rPr>
              <w:t xml:space="preserve">-D5InputFile</w:t>
            </w:r>
            <w:r>
              <w:rPr>
                <w:b/>
                <w:bCs/>
              </w:rPr>
              <w:t xml:space="preserve"> </w:t>
            </w:r>
            <w:r>
              <w:rPr>
                <w:b/>
                <w:bCs/>
              </w:rPr>
              <w:t xml:space="preserve">on D1.8 and D1.7.</w:t>
            </w:r>
            <w:r>
              <w:t xml:space="preserve"> </w:t>
            </w:r>
            <w:r>
              <w:t xml:space="preserve">Both scripts read the SPN inventory from an</w:t>
            </w:r>
            <w:r>
              <w:t xml:space="preserve"> </w:t>
            </w:r>
            <w:r>
              <w:rPr>
                <w:rStyle w:val="VerbatimChar"/>
              </w:rPr>
              <w:t xml:space="preserve">SPNInventory</w:t>
            </w:r>
            <w:r>
              <w:t xml:space="preserve"> </w:t>
            </w:r>
            <w:r>
              <w:t xml:space="preserve">array (D1.8 also expects</w:t>
            </w:r>
            <w:r>
              <w:t xml:space="preserve"> </w:t>
            </w:r>
            <w:r>
              <w:rPr>
                <w:rStyle w:val="VerbatimChar"/>
              </w:rPr>
              <w:t xml:space="preserve">Hostname</w:t>
            </w:r>
            <w:r>
              <w:t xml:space="preserve">,</w:t>
            </w:r>
            <w:r>
              <w:t xml:space="preserve"> </w:t>
            </w:r>
            <w:r>
              <w:rPr>
                <w:rStyle w:val="VerbatimChar"/>
              </w:rPr>
              <w:t xml:space="preserve">RawSPN</w:t>
            </w:r>
            <w:r>
              <w:t xml:space="preserve"> </w:t>
            </w:r>
            <w:r>
              <w:t xml:space="preserve">and</w:t>
            </w:r>
            <w:r>
              <w:t xml:space="preserve"> </w:t>
            </w:r>
            <w:r>
              <w:rPr>
                <w:rStyle w:val="VerbatimChar"/>
              </w:rPr>
              <w:t xml:space="preserve">AccountName</w:t>
            </w:r>
            <w:r>
              <w:t xml:space="preserve"> </w:t>
            </w:r>
            <w:r>
              <w:t xml:space="preserve">fields), but</w:t>
            </w:r>
            <w:r>
              <w:t xml:space="preserve"> </w:t>
            </w:r>
            <w:r>
              <w:rPr>
                <w:rStyle w:val="VerbatimChar"/>
              </w:rPr>
              <w:t xml:space="preserve">Spec1-D1.5</w:t>
            </w:r>
            <w:r>
              <w:t xml:space="preserve"> </w:t>
            </w:r>
            <w:r>
              <w:t xml:space="preserve">writes its records to a top-level</w:t>
            </w:r>
            <w:r>
              <w:t xml:space="preserve"> </w:t>
            </w:r>
            <w:r>
              <w:rPr>
                <w:rStyle w:val="VerbatimChar"/>
              </w:rPr>
              <w:t xml:space="preserve">SPNs</w:t>
            </w:r>
            <w:r>
              <w:t xml:space="preserve"> </w:t>
            </w:r>
            <w:r>
              <w:t xml:space="preserve">array with</w:t>
            </w:r>
            <w:r>
              <w:t xml:space="preserve"> </w:t>
            </w:r>
            <w:r>
              <w:rPr>
                <w:rStyle w:val="VerbatimChar"/>
              </w:rPr>
              <w:t xml:space="preserve">Host</w:t>
            </w:r>
            <w:r>
              <w:t xml:space="preserve">,</w:t>
            </w:r>
            <w:r>
              <w:t xml:space="preserve"> </w:t>
            </w:r>
            <w:r>
              <w:rPr>
                <w:rStyle w:val="VerbatimChar"/>
              </w:rPr>
              <w:t xml:space="preserve">SPN</w:t>
            </w:r>
            <w:r>
              <w:t xml:space="preserve"> </w:t>
            </w:r>
            <w:r>
              <w:t xml:space="preserve">and</w:t>
            </w:r>
            <w:r>
              <w:t xml:space="preserve"> </w:t>
            </w:r>
            <w:r>
              <w:rPr>
                <w:rStyle w:val="VerbatimChar"/>
              </w:rPr>
              <w:t xml:space="preserve">SamAccountName</w:t>
            </w:r>
            <w:r>
              <w:t xml:space="preserve"> </w:t>
            </w:r>
            <w:r>
              <w:t xml:space="preserve">fields. Passing the file therefore yields no SPN-discovered instances, and because the file replaces the live query, the live query doesn’t run either. Run D1.8 and D1.7</w:t>
            </w:r>
            <w:r>
              <w:t xml:space="preserve"> </w:t>
            </w:r>
            <w:r>
              <w:rPr>
                <w:b/>
                <w:bCs/>
              </w:rPr>
              <w:t xml:space="preserve">without</w:t>
            </w:r>
            <w:r>
              <w:t xml:space="preserve"> </w:t>
            </w:r>
            <w:r>
              <w:rPr>
                <w:rStyle w:val="VerbatimChar"/>
              </w:rPr>
              <w:t xml:space="preserve">-D5InputFile</w:t>
            </w:r>
            <w:r>
              <w:t xml:space="preserve">, so they query Active Directory directly, and use the D1.5 output for cross-checking.</w:t>
            </w:r>
          </w:p>
          <w:p>
            <w:pPr>
              <w:pStyle w:val="Compact"/>
              <w:numPr>
                <w:ilvl w:val="0"/>
                <w:numId w:val="1004"/>
              </w:numPr>
            </w:pPr>
            <w:r>
              <w:rPr>
                <w:rStyle w:val="VerbatimChar"/>
                <w:b/>
                <w:bCs/>
              </w:rPr>
              <w:t xml:space="preserve">-D1InputFile</w:t>
            </w:r>
            <w:r>
              <w:rPr>
                <w:b/>
                <w:bCs/>
              </w:rPr>
              <w:t xml:space="preserve"> </w:t>
            </w:r>
            <w:r>
              <w:rPr>
                <w:b/>
                <w:bCs/>
              </w:rPr>
              <w:t xml:space="preserve">on D1.8.</w:t>
            </w:r>
            <w:r>
              <w:t xml:space="preserve"> </w:t>
            </w:r>
            <w:r>
              <w:t xml:space="preserve">The service-account scan it expects (</w:t>
            </w:r>
            <w:r>
              <w:rPr>
                <w:rStyle w:val="VerbatimChar"/>
              </w:rPr>
              <w:t xml:space="preserve">Spec3-D1.1</w:t>
            </w:r>
            <w:r>
              <w:t xml:space="preserve">) isn’t among the program’s published discovery scripts yet. Leave the parameter unset, or supply a JSON file with a</w:t>
            </w:r>
            <w:r>
              <w:t xml:space="preserve"> </w:t>
            </w:r>
            <w:r>
              <w:rPr>
                <w:rStyle w:val="VerbatimChar"/>
              </w:rPr>
              <w:t xml:space="preserve">ServiceAccounts[]</w:t>
            </w:r>
            <w:r>
              <w:t xml:space="preserve"> </w:t>
            </w:r>
            <w:r>
              <w:t xml:space="preserve">array keyed on</w:t>
            </w:r>
            <w:r>
              <w:t xml:space="preserve"> </w:t>
            </w:r>
            <w:r>
              <w:rPr>
                <w:rStyle w:val="VerbatimChar"/>
              </w:rPr>
              <w:t xml:space="preserve">SamAccountName</w:t>
            </w:r>
            <w:r>
              <w:t xml:space="preserve">.</w:t>
            </w:r>
          </w:p>
          <w:p/>
        </w:tc>
      </w:tr>
    </w:tbl>
    <w:bookmarkEnd w:id="40"/>
    <w:bookmarkStart w:id="41" w:name="failure-modes"/>
    <w:p>
      <w:pPr>
        <w:pStyle w:val="Heading2"/>
      </w:pPr>
      <w:r>
        <w:t xml:space="preserve">Failure modes</w:t>
      </w:r>
    </w:p>
    <w:p>
      <w:pPr>
        <w:pStyle w:val="FirstParagraph"/>
      </w:pPr>
      <w:r>
        <w:t xml:space="preserve">The script degrades rather than crashing. Know what each state means:</w:t>
      </w:r>
    </w:p>
    <w:p>
      <w:pPr>
        <w:pStyle w:val="Compact"/>
        <w:numPr>
          <w:ilvl w:val="0"/>
          <w:numId w:val="1005"/>
        </w:numPr>
      </w:pPr>
      <w:r>
        <w:rPr>
          <w:b/>
          <w:bCs/>
        </w:rPr>
        <w:t xml:space="preserve">ActiveDirectory module absent</w:t>
      </w:r>
      <w:r>
        <w:t xml:space="preserve">: the SPN discovery is skipped, so only</w:t>
      </w:r>
      <w:r>
        <w:t xml:space="preserve"> </w:t>
      </w:r>
      <w:r>
        <w:rPr>
          <w:rStyle w:val="VerbatimChar"/>
        </w:rPr>
        <w:t xml:space="preserve">-TargetServers</w:t>
      </w:r>
      <w:r>
        <w:t xml:space="preserve"> </w:t>
      </w:r>
      <w:r>
        <w:t xml:space="preserve">hosts are audited, and orphaned logins can’t be checked. Install RSAT for full coverage.</w:t>
      </w:r>
    </w:p>
    <w:p>
      <w:pPr>
        <w:pStyle w:val="Compact"/>
        <w:numPr>
          <w:ilvl w:val="0"/>
          <w:numId w:val="1005"/>
        </w:numPr>
      </w:pPr>
      <w:r>
        <w:rPr>
          <w:b/>
          <w:bCs/>
        </w:rPr>
        <w:t xml:space="preserve">Domain controller unreachable</w:t>
      </w:r>
      <w:r>
        <w:t xml:space="preserve">: the SPN query returns nothing; pass</w:t>
      </w:r>
      <w:r>
        <w:t xml:space="preserve"> </w:t>
      </w:r>
      <w:r>
        <w:rPr>
          <w:rStyle w:val="VerbatimChar"/>
        </w:rPr>
        <w:t xml:space="preserve">-DomainController</w:t>
      </w:r>
      <w:r>
        <w:t xml:space="preserve"> </w:t>
      </w:r>
      <w:r>
        <w:t xml:space="preserve">to target a reachable one.</w:t>
      </w:r>
    </w:p>
    <w:p>
      <w:pPr>
        <w:pStyle w:val="Compact"/>
        <w:numPr>
          <w:ilvl w:val="0"/>
          <w:numId w:val="1005"/>
        </w:numPr>
      </w:pPr>
      <w:r>
        <w:rPr>
          <w:b/>
          <w:bCs/>
        </w:rPr>
        <w:t xml:space="preserve">CIM unreachable on a host</w:t>
      </w:r>
      <w:r>
        <w:t xml:space="preserve">: service-account fields stay</w:t>
      </w:r>
      <w:r>
        <w:t xml:space="preserve"> </w:t>
      </w:r>
      <w:r>
        <w:rPr>
          <w:rStyle w:val="VerbatimChar"/>
        </w:rPr>
        <w:t xml:space="preserve">Unknown</w:t>
      </w:r>
      <w:r>
        <w:t xml:space="preserve"> </w:t>
      </w:r>
      <w:r>
        <w:t xml:space="preserve">for that host; check WinRM and DCOM access and the host firewall.</w:t>
      </w:r>
    </w:p>
    <w:p>
      <w:pPr>
        <w:pStyle w:val="Compact"/>
        <w:numPr>
          <w:ilvl w:val="0"/>
          <w:numId w:val="1005"/>
        </w:numPr>
      </w:pPr>
      <w:r>
        <w:rPr>
          <w:b/>
          <w:bCs/>
        </w:rPr>
        <w:t xml:space="preserve">SQL connection fails under</w:t>
      </w:r>
      <w:r>
        <w:rPr>
          <w:b/>
          <w:bCs/>
        </w:rPr>
        <w:t xml:space="preserve"> </w:t>
      </w:r>
      <w:r>
        <w:rPr>
          <w:rStyle w:val="VerbatimChar"/>
          <w:b/>
          <w:bCs/>
        </w:rPr>
        <w:t xml:space="preserve">-QueryInstances</w:t>
      </w:r>
      <w:r>
        <w:t xml:space="preserve">: the instance is recorded with</w:t>
      </w:r>
      <w:r>
        <w:t xml:space="preserve"> </w:t>
      </w:r>
      <w:r>
        <w:rPr>
          <w:rStyle w:val="VerbatimChar"/>
        </w:rPr>
        <w:t xml:space="preserve">AuthenticationMode</w:t>
      </w:r>
      <w:r>
        <w:t xml:space="preserve"> </w:t>
      </w:r>
      <w:r>
        <w:t xml:space="preserve">set to</w:t>
      </w:r>
      <w:r>
        <w:t xml:space="preserve"> </w:t>
      </w:r>
      <w:r>
        <w:rPr>
          <w:rStyle w:val="VerbatimChar"/>
        </w:rPr>
        <w:t xml:space="preserve">Query Failed</w:t>
      </w:r>
      <w:r>
        <w:t xml:space="preserve"> </w:t>
      </w:r>
      <w:r>
        <w:t xml:space="preserve">and an empty login inventory, rather than aborting the run. Check SQL Server permissions and the firewall.</w:t>
      </w:r>
    </w:p>
    <w:p>
      <w:pPr>
        <w:pStyle w:val="Compact"/>
        <w:numPr>
          <w:ilvl w:val="0"/>
          <w:numId w:val="1005"/>
        </w:numPr>
      </w:pPr>
      <w:r>
        <w:rPr>
          <w:b/>
          <w:bCs/>
        </w:rPr>
        <w:t xml:space="preserve">TCP timeout under</w:t>
      </w:r>
      <w:r>
        <w:rPr>
          <w:b/>
          <w:bCs/>
        </w:rPr>
        <w:t xml:space="preserve"> </w:t>
      </w:r>
      <w:r>
        <w:rPr>
          <w:rStyle w:val="VerbatimChar"/>
          <w:b/>
          <w:bCs/>
        </w:rPr>
        <w:t xml:space="preserve">-TestConnectivity</w:t>
      </w:r>
      <w:r>
        <w:t xml:space="preserve">:</w:t>
      </w:r>
      <w:r>
        <w:t xml:space="preserve"> </w:t>
      </w:r>
      <w:r>
        <w:rPr>
          <w:rStyle w:val="VerbatimChar"/>
        </w:rPr>
        <w:t xml:space="preserve">TCPReachable</w:t>
      </w:r>
      <w:r>
        <w:t xml:space="preserve"> </w:t>
      </w:r>
      <w:r>
        <w:t xml:space="preserve">is</w:t>
      </w:r>
      <w:r>
        <w:t xml:space="preserve"> </w:t>
      </w:r>
      <w:r>
        <w:rPr>
          <w:rStyle w:val="VerbatimChar"/>
        </w:rPr>
        <w:t xml:space="preserve">Timeout</w:t>
      </w:r>
      <w:r>
        <w:t xml:space="preserve"> </w:t>
      </w:r>
      <w:r>
        <w:t xml:space="preserve">(a three-second budget), as opposed to</w:t>
      </w:r>
      <w:r>
        <w:t xml:space="preserve"> </w:t>
      </w:r>
      <w:r>
        <w:rPr>
          <w:rStyle w:val="VerbatimChar"/>
        </w:rPr>
        <w:t xml:space="preserve">Yes</w:t>
      </w:r>
      <w:r>
        <w:t xml:space="preserve"> </w:t>
      </w:r>
      <w:r>
        <w:t xml:space="preserve">or</w:t>
      </w:r>
      <w:r>
        <w:t xml:space="preserve"> </w:t>
      </w:r>
      <w:r>
        <w:rPr>
          <w:rStyle w:val="VerbatimChar"/>
        </w:rPr>
        <w:t xml:space="preserve">No</w:t>
      </w:r>
      <w:r>
        <w:t xml:space="preserve">. An instance that answers</w:t>
      </w:r>
      <w:r>
        <w:t xml:space="preserve"> </w:t>
      </w:r>
      <w:r>
        <w:rPr>
          <w:rStyle w:val="VerbatimChar"/>
        </w:rPr>
        <w:t xml:space="preserve">No</w:t>
      </w:r>
      <w:r>
        <w:t xml:space="preserve"> </w:t>
      </w:r>
      <w:r>
        <w:t xml:space="preserve">is skipped by</w:t>
      </w:r>
      <w:r>
        <w:t xml:space="preserve"> </w:t>
      </w:r>
      <w:r>
        <w:rPr>
          <w:rStyle w:val="VerbatimChar"/>
        </w:rPr>
        <w:t xml:space="preserve">-QueryInstances</w:t>
      </w:r>
      <w:r>
        <w:t xml:space="preserve">.</w:t>
      </w:r>
    </w:p>
    <w:bookmarkEnd w:id="41"/>
    <w:bookmarkStart w:id="45" w:name="feeding-continuous-monitoring-closure"/>
    <w:p>
      <w:pPr>
        <w:pStyle w:val="Heading2"/>
      </w:pPr>
      <w:r>
        <w:t xml:space="preserve">Feeding continuous-monitoring closure</w:t>
      </w:r>
    </w:p>
    <w:p>
      <w:pPr>
        <w:pStyle w:val="FirstParagraph"/>
      </w:pPr>
      <w:r>
        <w:t xml:space="preserve">The audit JSON is the raw input for the continuous-monitoring evidence that</w:t>
      </w:r>
      <w:r>
        <w:t xml:space="preserve"> </w:t>
      </w:r>
      <w:hyperlink r:id="rId42">
        <w:r>
          <w:rPr>
            <w:rStyle w:val="Hyperlink"/>
          </w:rPr>
          <w:t xml:space="preserve">Chapter 20</w:t>
        </w:r>
      </w:hyperlink>
      <w:r>
        <w:t xml:space="preserve"> </w:t>
      </w:r>
      <w:r>
        <w:t xml:space="preserve">and</w:t>
      </w:r>
      <w:r>
        <w:t xml:space="preserve"> </w:t>
      </w:r>
      <w:hyperlink r:id="rId43">
        <w:r>
          <w:rPr>
            <w:rStyle w:val="Hyperlink"/>
          </w:rPr>
          <w:t xml:space="preserve">Chapter 21</w:t>
        </w:r>
      </w:hyperlink>
      <w:r>
        <w:t xml:space="preserve"> </w:t>
      </w:r>
      <w:r>
        <w:t xml:space="preserve">describe and</w:t>
      </w:r>
      <w:r>
        <w:t xml:space="preserve"> </w:t>
      </w:r>
      <w:hyperlink r:id="rId44">
        <w:r>
          <w:rPr>
            <w:rStyle w:val="Hyperlink"/>
          </w:rPr>
          <w:t xml:space="preserve">Runbook R09</w:t>
        </w:r>
      </w:hyperlink>
      <w:r>
        <w:t xml:space="preserve"> </w:t>
      </w:r>
      <w:r>
        <w:t xml:space="preserve">automates. Re-running it on a schedule turns</w:t>
      </w:r>
      <w:r>
        <w:t xml:space="preserve"> </w:t>
      </w:r>
      <w:r>
        <w:t xml:space="preserve">“did we eliminate NTLM, mixed mode and the enabled</w:t>
      </w:r>
      <w:r>
        <w:t xml:space="preserve"> </w:t>
      </w:r>
      <w:r>
        <w:rPr>
          <w:rStyle w:val="VerbatimChar"/>
        </w:rPr>
        <w:t xml:space="preserve">sa</w:t>
      </w:r>
      <w:r>
        <w:t xml:space="preserve"> </w:t>
      </w:r>
      <w:r>
        <w:t xml:space="preserve">account”</w:t>
      </w:r>
      <w:r>
        <w:t xml:space="preserve"> </w:t>
      </w:r>
      <w:r>
        <w:t xml:space="preserve">into a live artifact you can compare run to run, rather than a one-time claim. Wire the JSON into the program’s continuous-monitoring ingestion (CCM-BIR in the program’s tooling) the same way the rest of the discovery pipeline feeds it.</w:t>
      </w:r>
    </w:p>
    <w:bookmarkEnd w:id="45"/>
    <w:bookmarkStart w:id="50" w:name="safety"/>
    <w:p>
      <w:pPr>
        <w:pStyle w:val="Heading2"/>
      </w:pPr>
      <w:r>
        <w:t xml:space="preserve">Safety</w:t>
      </w:r>
    </w:p>
    <w:p>
      <w:pPr>
        <w:pStyle w:val="FirstParagraph"/>
      </w:pPr>
      <w:r>
        <w:t xml:space="preserve">This entire runbook is read-only. The discovery-only invocation (example 1) opens no SQL Server connection; it reads Active Directory and host service configuration.</w:t>
      </w:r>
      <w:r>
        <w:t xml:space="preserve"> </w:t>
      </w:r>
      <w:r>
        <w:rPr>
          <w:rStyle w:val="VerbatimChar"/>
        </w:rPr>
        <w:t xml:space="preserve">-QueryInstances</w:t>
      </w:r>
      <w:r>
        <w:t xml:space="preserve"> </w:t>
      </w:r>
      <w:r>
        <w:t xml:space="preserve">runs read-only inventory queries. Nothing here changes a production security posture; that begins in</w:t>
      </w:r>
      <w:r>
        <w:t xml:space="preserve"> </w:t>
      </w:r>
      <w:hyperlink r:id="rId24">
        <w:r>
          <w:rPr>
            <w:rStyle w:val="Hyperlink"/>
          </w:rPr>
          <w:t xml:space="preserve">Runbook R04</w:t>
        </w:r>
      </w:hyperlink>
      <w:r>
        <w:t xml:space="preserve"> </w:t>
      </w:r>
      <w:r>
        <w:t xml:space="preserve">(Arc) and</w:t>
      </w:r>
      <w:r>
        <w:t xml:space="preserve"> </w:t>
      </w:r>
      <w:hyperlink r:id="rId27">
        <w:r>
          <w:rPr>
            <w:rStyle w:val="Hyperlink"/>
          </w:rPr>
          <w:t xml:space="preserve">Runbook R05</w:t>
        </w:r>
      </w:hyperlink>
      <w:r>
        <w:t xml:space="preserve"> </w:t>
      </w:r>
      <w:r>
        <w:t xml:space="preserve">(logins).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7" name="Picture"/>
                  <a:graphic>
                    <a:graphicData uri="http://schemas.openxmlformats.org/drawingml/2006/picture">
                      <pic:pic>
                        <pic:nvPicPr>
                          <pic:cNvPr descr="/opt/quarto/share/formats/docx/tip.png" id="48" name="Picture"/>
                          <pic:cNvPicPr>
                            <a:picLocks noChangeArrowheads="1" noChangeAspect="1"/>
                          </pic:cNvPicPr>
                        </pic:nvPicPr>
                        <pic:blipFill>
                          <a:blip r:embed="rId4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31">
              <w:r>
                <w:rPr>
                  <w:rStyle w:val="Hyperlink"/>
                </w:rPr>
                <w:t xml:space="preserve">← Previous: Runbook R02 — Estate Discovery &amp; the Consolidation Gate</w:t>
              </w:r>
            </w:hyperlink>
            <w:r>
              <w:t xml:space="preserve"> </w:t>
            </w:r>
            <w:r>
              <w:t xml:space="preserve">·</w:t>
            </w:r>
            <w:r>
              <w:t xml:space="preserve"> </w:t>
            </w:r>
            <w:hyperlink r:id="rId49">
              <w:r>
                <w:rPr>
                  <w:rStyle w:val="Hyperlink"/>
                </w:rPr>
                <w:t xml:space="preserve">Book index</w:t>
              </w:r>
            </w:hyperlink>
            <w:r>
              <w:t xml:space="preserve"> </w:t>
            </w:r>
            <w:r>
              <w:t xml:space="preserve">·</w:t>
            </w:r>
            <w:r>
              <w:t xml:space="preserve"> </w:t>
            </w:r>
            <w:hyperlink r:id="rId24">
              <w:r>
                <w:rPr>
                  <w:rStyle w:val="Hyperlink"/>
                </w:rPr>
                <w:t xml:space="preserve">Next: Runbook R04 — Arc Deployment &amp; the Managed Identity →</w:t>
              </w:r>
            </w:hyperlink>
          </w:p>
          <w:p/>
        </w:tc>
      </w:tr>
    </w:tbl>
    <w:bookmarkEnd w:id="50"/>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“sys.linked_logins (Transact-SQL),”</w:t>
      </w:r>
      <w:r>
        <w:t xml:space="preserve"> </w:t>
      </w:r>
      <w:r>
        <w:t xml:space="preserve">permissions (metadata visibility),</w:t>
      </w:r>
      <w:r>
        <w:t xml:space="preserve"> </w:t>
      </w:r>
      <w:hyperlink r:id="rId16">
        <w:r>
          <w:rPr>
            <w:rStyle w:val="Hyperlink"/>
          </w:rPr>
          <w:t xml:space="preserve">https://learn.microsoft.com/sql/relational-databases/system-catalog-views/sys-linked-logins-transact-sql</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“Kerberos generates KDC_ERR_S_PRINCIPAL_UNKNOWN or KDC_ERR_PRINCIPAL_NOT_UNIQUE error,”</w:t>
      </w:r>
      <w:r>
        <w:t xml:space="preserve"> </w:t>
      </w:r>
      <w:hyperlink r:id="rId34">
        <w:r>
          <w:rPr>
            <w:rStyle w:val="Hyperlink"/>
          </w:rPr>
          <w:t xml:space="preserve">https://learn.microsoft.com/troubleshoot/windows-server/windows-security/kerberos-error-kdc-err-s-principal-unknown-or-not-unique</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7" Target="media/rId37.png" /><Relationship Type="http://schemas.openxmlformats.org/officeDocument/2006/relationships/image" Id="rId9" Target="media/rId9.png" /><Relationship Type="http://schemas.openxmlformats.org/officeDocument/2006/relationships/image" Id="rId46" Target="media/rId46.png" /><Relationship Type="http://schemas.openxmlformats.org/officeDocument/2006/relationships/image" Id="rId19" Target="media/rId19.png" /><Relationship Type="http://schemas.openxmlformats.org/officeDocument/2006/relationships/hyperlink" Id="rId12" Target="07-the-authentication-audit.md" TargetMode="External" /><Relationship Type="http://schemas.openxmlformats.org/officeDocument/2006/relationships/hyperlink" Id="rId13" Target="08-reading-the-audit.md" TargetMode="External" /><Relationship Type="http://schemas.openxmlformats.org/officeDocument/2006/relationships/hyperlink" Id="rId42" Target="20-the-closure-condition.md" TargetMode="External" /><Relationship Type="http://schemas.openxmlformats.org/officeDocument/2006/relationships/hyperlink" Id="rId43" Target="21-what-done-looks-like.md" TargetMode="External" /><Relationship Type="http://schemas.openxmlformats.org/officeDocument/2006/relationships/hyperlink" Id="rId35" Target="22-where-sql-server-touches-adcs.md" TargetMode="External" /><Relationship Type="http://schemas.openxmlformats.org/officeDocument/2006/relationships/hyperlink" Id="rId26" Target="https://learn.microsoft.com/sql/relational-databases/security/authentication-access/azure-ad-authentication-sql-server-overview" TargetMode="External" /><Relationship Type="http://schemas.openxmlformats.org/officeDocument/2006/relationships/hyperlink" Id="rId16" Target="https://learn.microsoft.com/sql/relational-databases/system-catalog-views/sys-linked-logins-transact-sql" TargetMode="External" /><Relationship Type="http://schemas.openxmlformats.org/officeDocument/2006/relationships/hyperlink" Id="rId34" Target="https://learn.microsoft.com/troubleshoot/windows-server/windows-security/kerberos-error-kdc-err-s-principal-unknown-or-not-unique" TargetMode="External" /><Relationship Type="http://schemas.openxmlformats.org/officeDocument/2006/relationships/hyperlink" Id="rId49" Target="index.md" TargetMode="External" /><Relationship Type="http://schemas.openxmlformats.org/officeDocument/2006/relationships/hyperlink" Id="rId31" Target="r02-estate-discovery-and-consolidation-gate.md" TargetMode="External" /><Relationship Type="http://schemas.openxmlformats.org/officeDocument/2006/relationships/hyperlink" Id="rId24" Target="r04-arc-deployment-and-managed-identity.md" TargetMode="External" /><Relationship Type="http://schemas.openxmlformats.org/officeDocument/2006/relationships/hyperlink" Id="rId27" Target="r05-login-migration-and-parallel-run.md" TargetMode="External" /><Relationship Type="http://schemas.openxmlformats.org/officeDocument/2006/relationships/hyperlink" Id="rId32" Target="r06-ntlm-detection-and-remediation.md" TargetMode="External" /><Relationship Type="http://schemas.openxmlformats.org/officeDocument/2006/relationships/hyperlink" Id="rId44" Target="r09-continuous-monitoring-and-closure.md" TargetMode="External" /><Relationship Type="http://schemas.openxmlformats.org/officeDocument/2006/relationships/hyperlink" Id="rId36" Target="r10-certificate-discovery-for-adcs.md" TargetMode="External" /></Relationships>
</file>

<file path=word/_rels/footnotes.xml.rels><?xml version="1.0" encoding="UTF-8"?><Relationships xmlns="http://schemas.openxmlformats.org/package/2006/relationships"><Relationship Type="http://schemas.openxmlformats.org/officeDocument/2006/relationships/hyperlink" Id="rId12" Target="07-the-authentication-audit.md" TargetMode="External" /><Relationship Type="http://schemas.openxmlformats.org/officeDocument/2006/relationships/hyperlink" Id="rId13" Target="08-reading-the-audit.md" TargetMode="External" /><Relationship Type="http://schemas.openxmlformats.org/officeDocument/2006/relationships/hyperlink" Id="rId42" Target="20-the-closure-condition.md" TargetMode="External" /><Relationship Type="http://schemas.openxmlformats.org/officeDocument/2006/relationships/hyperlink" Id="rId43" Target="21-what-done-looks-like.md" TargetMode="External" /><Relationship Type="http://schemas.openxmlformats.org/officeDocument/2006/relationships/hyperlink" Id="rId35" Target="22-where-sql-server-touches-adcs.md" TargetMode="External" /><Relationship Type="http://schemas.openxmlformats.org/officeDocument/2006/relationships/hyperlink" Id="rId26" Target="https://learn.microsoft.com/sql/relational-databases/security/authentication-access/azure-ad-authentication-sql-server-overview" TargetMode="External" /><Relationship Type="http://schemas.openxmlformats.org/officeDocument/2006/relationships/hyperlink" Id="rId16" Target="https://learn.microsoft.com/sql/relational-databases/system-catalog-views/sys-linked-logins-transact-sql" TargetMode="External" /><Relationship Type="http://schemas.openxmlformats.org/officeDocument/2006/relationships/hyperlink" Id="rId34" Target="https://learn.microsoft.com/troubleshoot/windows-server/windows-security/kerberos-error-kdc-err-s-principal-unknown-or-not-unique" TargetMode="External" /><Relationship Type="http://schemas.openxmlformats.org/officeDocument/2006/relationships/hyperlink" Id="rId49" Target="index.md" TargetMode="External" /><Relationship Type="http://schemas.openxmlformats.org/officeDocument/2006/relationships/hyperlink" Id="rId31" Target="r02-estate-discovery-and-consolidation-gate.md" TargetMode="External" /><Relationship Type="http://schemas.openxmlformats.org/officeDocument/2006/relationships/hyperlink" Id="rId24" Target="r04-arc-deployment-and-managed-identity.md" TargetMode="External" /><Relationship Type="http://schemas.openxmlformats.org/officeDocument/2006/relationships/hyperlink" Id="rId27" Target="r05-login-migration-and-parallel-run.md" TargetMode="External" /><Relationship Type="http://schemas.openxmlformats.org/officeDocument/2006/relationships/hyperlink" Id="rId32" Target="r06-ntlm-detection-and-remediation.md" TargetMode="External" /><Relationship Type="http://schemas.openxmlformats.org/officeDocument/2006/relationships/hyperlink" Id="rId44" Target="r09-continuous-monitoring-and-closure.md" TargetMode="External" /><Relationship Type="http://schemas.openxmlformats.org/officeDocument/2006/relationships/hyperlink" Id="rId36" Target="r10-certificate-discovery-for-adc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R03 — The Authentication Audit</dc:title>
  <dc:creator/>
  <dc:description>The read-only foundation of the SQL Server transformation: the program’s Get-SQLServerAuthAudit script (Spec3-D1.8) and the SPN inventory, SPN-collision, authentication-protocol, certificate-based-authentication and service-account-owner audits that feed it, with their parameters, prerequisites, output schemas, failure modes and known defects, and how to read Microsoft Entra ID readiness from the results.</dc:description>
  <cp:keywords/>
  <dcterms:created xsi:type="dcterms:W3CDTF">2026-10-20T23:26:18Z</dcterms:created>
  <dcterms:modified xsi:type="dcterms:W3CDTF">2026-10-20T23:26:18Z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