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png" ContentType="image/png"/>
  <Override PartName="/word/media/rId9.png" ContentType="image/png"/>
  <Override PartName="/word/media/rId52.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Runbook R05 — Login Migration &amp; Parallel-Run Validation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7" w:name="Xbf1d6c5a965e2e0e72ff8bcfcbdd168bd5fc980"/>
    <w:p>
      <w:pPr>
        <w:pStyle w:val="Heading1"/>
      </w:pPr>
      <w:r>
        <w:t xml:space="preserve">Runbook R05 — Login Migration &amp; Parallel-Run Validation</w:t>
      </w:r>
    </w:p>
    <w:p>
      <w:pPr>
        <w:pStyle w:val="FirstParagraph"/>
      </w:pPr>
      <w:r>
        <w:rPr>
          <w:i/>
          <w:iCs/>
        </w:rPr>
        <w:t xml:space="preserve">Add the Entra login beside the Windows one, watch both for thirty days, and disable rather than drop.</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runbook</w:t>
            </w:r>
          </w:p>
        </w:tc>
      </w:tr>
      <w:tr>
        <w:trPr>
          <w:cantSplit/>
        </w:trPr>
        <w:tc>
          <w:tcPr>
            <w:tcMar>
              <w:top w:w="108" w:type="dxa"/>
              <w:bottom w:w="108" w:type="dxa"/>
            </w:tcMar>
          </w:tcPr>
          <w:p>
            <w:pPr>
              <w:pStyle w:val="BodyText"/>
            </w:pPr>
            <w:pPr>
              <w:spacing w:before="16" w:after="16"/>
            </w:pPr>
            <w:r>
              <w:t xml:space="preserve">Generating the Entra logins from the audit (dry run first), creating Entra database users beside the existing Windows users, the 30-day parallel-run window and its exit criteria, cutover by disabling the superseded Windows logins, the rollback that disabling makes instant, and remediating an enabled</w:t>
            </w:r>
            <w:r>
              <w:t xml:space="preserve"> </w:t>
            </w:r>
            <w:r>
              <w:rPr>
                <w:rStyle w:val="VerbatimChar"/>
              </w:rPr>
              <w:t xml:space="preserve">sa</w:t>
            </w:r>
            <w:r>
              <w:t xml:space="preserve"> </w:t>
            </w:r>
            <w:r>
              <w:t xml:space="preserve">account. Every step that runs T-SQL against an instance is review-required.</w:t>
            </w:r>
          </w:p>
          <w:p/>
        </w:tc>
      </w:tr>
    </w:tbl>
    <w:p>
      <w:pPr>
        <w:pStyle w:val="BodyText"/>
      </w:pPr>
      <w:r>
        <w:rPr>
          <w:b/>
          <w:bCs/>
        </w:rPr>
        <w:t xml:space="preserve">Pairs with:</w:t>
      </w:r>
      <w:r>
        <w:t xml:space="preserve"> </w:t>
      </w:r>
      <w:hyperlink r:id="rId12">
        <w:r>
          <w:rPr>
            <w:rStyle w:val="Hyperlink"/>
          </w:rPr>
          <w:t xml:space="preserve">Chapter 11 — Three Principal Types: User, Group, Service Principal</w:t>
        </w:r>
      </w:hyperlink>
      <w:r>
        <w:t xml:space="preserve"> </w:t>
      </w:r>
      <w:r>
        <w:t xml:space="preserve">and</w:t>
      </w:r>
      <w:r>
        <w:t xml:space="preserve"> </w:t>
      </w:r>
      <w:hyperlink r:id="rId13">
        <w:r>
          <w:rPr>
            <w:rStyle w:val="Hyperlink"/>
          </w:rPr>
          <w:t xml:space="preserve">Chapter 12 — What the Engine-Authentication Decision Settles</w:t>
        </w:r>
      </w:hyperlink>
      <w:r>
        <w:t xml:space="preserve">. Those chapters explain why the migration is a parallel run rather than a big-bang cutover, under the program’s consolidation-gated, parallel-run decision; this runbook is the T-SQL and the validation that make it safe.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5" name="Picture"/>
                  <a:graphic>
                    <a:graphicData uri="http://schemas.openxmlformats.org/drawingml/2006/picture">
                      <pic:pic>
                        <pic:nvPicPr>
                          <pic:cNvPr descr="/opt/quarto/share/formats/docx/important.png" id="16" name="Picture"/>
                          <pic:cNvPicPr>
                            <a:picLocks noChangeArrowheads="1" noChangeAspect="1"/>
                          </pic:cNvPicPr>
                        </pic:nvPicPr>
                        <pic:blipFill>
                          <a:blip r:embed="rId1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Automation status and production safety</w:t>
            </w:r>
          </w:p>
        </w:tc>
      </w:tr>
      <w:tr>
        <w:trPr>
          <w:cantSplit/>
        </w:trPr>
        <w:tc>
          <w:tcPr>
            <w:tcMar>
              <w:top w:w="108" w:type="dxa"/>
              <w:bottom w:w="108" w:type="dxa"/>
            </w:tcMar>
          </w:tcPr>
          <w:p>
            <w:pPr>
              <w:pStyle w:val="BodyText"/>
            </w:pPr>
            <w:pPr>
              <w:spacing w:before="16" w:after="16"/>
            </w:pPr>
            <w:r>
              <w:t xml:space="preserve">The login-mapping and script-generation steps are in the program’s</w:t>
            </w:r>
            <w:r>
              <w:t xml:space="preserve"> </w:t>
            </w:r>
            <w:r>
              <w:rPr>
                <w:rStyle w:val="VerbatimChar"/>
              </w:rPr>
              <w:t xml:space="preserve">FMPSqlServerMigration</w:t>
            </w:r>
            <w:r>
              <w:t xml:space="preserve"> </w:t>
            </w:r>
            <w:r>
              <w:t xml:space="preserve">module (</w:t>
            </w:r>
            <w:r>
              <w:rPr>
                <w:rStyle w:val="VerbatimChar"/>
              </w:rPr>
              <w:t xml:space="preserve">tools/powershell/FMPSqlServerMigration/</w:t>
            </w:r>
            <w:r>
              <w:t xml:space="preserve"> </w:t>
            </w:r>
            <w:r>
              <w:t xml:space="preserve">in the program’s repository), and they’re deliberately</w:t>
            </w:r>
            <w:r>
              <w:t xml:space="preserve"> </w:t>
            </w:r>
            <w:r>
              <w:rPr>
                <w:b/>
                <w:bCs/>
              </w:rPr>
              <w:t xml:space="preserve">non-executing</w:t>
            </w:r>
            <w:r>
              <w:t xml:space="preserve">.</w:t>
            </w:r>
            <w:r>
              <w:t xml:space="preserve"> </w:t>
            </w:r>
            <w:r>
              <w:rPr>
                <w:rStyle w:val="VerbatimChar"/>
              </w:rPr>
              <w:t xml:space="preserve">New-FMPEntraLoginMapping</w:t>
            </w:r>
            <w:r>
              <w:t xml:space="preserve"> </w:t>
            </w:r>
            <w:r>
              <w:t xml:space="preserve">derives the mapping and</w:t>
            </w:r>
            <w:r>
              <w:t xml:space="preserve"> </w:t>
            </w:r>
            <w:r>
              <w:rPr>
                <w:rStyle w:val="VerbatimChar"/>
              </w:rPr>
              <w:t xml:space="preserve">New-FMPEntraLoginScript</w:t>
            </w:r>
            <w:r>
              <w:t xml:space="preserve"> </w:t>
            </w:r>
            <w:r>
              <w:t xml:space="preserve">writes a reviewable</w:t>
            </w:r>
            <w:r>
              <w:t xml:space="preserve"> </w:t>
            </w:r>
            <w:r>
              <w:rPr>
                <w:rStyle w:val="VerbatimChar"/>
              </w:rPr>
              <w:t xml:space="preserve">.sql</w:t>
            </w:r>
            <w:r>
              <w:t xml:space="preserve"> </w:t>
            </w:r>
            <w:r>
              <w:t xml:space="preserve">file; neither opens a SQL connection. Because the generated T-SQL runs</w:t>
            </w:r>
            <w:r>
              <w:t xml:space="preserve"> </w:t>
            </w:r>
            <w:r>
              <w:rPr>
                <w:rStyle w:val="VerbatimChar"/>
              </w:rPr>
              <w:t xml:space="preserve">CREATE LOGIN</w:t>
            </w:r>
            <w:r>
              <w:t xml:space="preserve"> </w:t>
            </w:r>
            <w:r>
              <w:t xml:space="preserve">and related statements against production instances, every step stays</w:t>
            </w:r>
            <w:r>
              <w:t xml:space="preserve"> </w:t>
            </w:r>
            <w:r>
              <w:rPr>
                <w:b/>
                <w:bCs/>
              </w:rPr>
              <w:t xml:space="preserve">review-required</w:t>
            </w:r>
            <w:r>
              <w:t xml:space="preserve">: generate the statements in a dry run, review them, execute them in a change window, and</w:t>
            </w:r>
            <w:r>
              <w:t xml:space="preserve"> </w:t>
            </w:r>
            <w:r>
              <w:rPr>
                <w:b/>
                <w:bCs/>
              </w:rPr>
              <w:t xml:space="preserve">never disable or drop a Windows login until its Entra replacement is validated in parallel</w:t>
            </w:r>
            <w:r>
              <w:t xml:space="preserve">, which</w:t>
            </w:r>
            <w:r>
              <w:t xml:space="preserve"> </w:t>
            </w:r>
            <w:r>
              <w:rPr>
                <w:rStyle w:val="VerbatimChar"/>
              </w:rPr>
              <w:t xml:space="preserve">Test-FMPLoginParallelRun</w:t>
            </w:r>
            <w:r>
              <w:t xml:space="preserve"> </w:t>
            </w:r>
            <w:r>
              <w:t xml:space="preserve">evaluates against the program’s exit criteria.</w:t>
            </w:r>
          </w:p>
          <w:p/>
        </w:tc>
      </w:tr>
    </w:tbl>
    <w:bookmarkStart w:id="23" w:name="preconditions"/>
    <w:p>
      <w:pPr>
        <w:pStyle w:val="Heading2"/>
      </w:pPr>
      <w:r>
        <w:t xml:space="preserve">Preconditions</w:t>
      </w:r>
    </w:p>
    <w:p>
      <w:pPr>
        <w:pStyle w:val="FirstParagraph"/>
      </w:pPr>
      <w:r>
        <w:t xml:space="preserve">Don’t start until, per the earlier runbooks:</w:t>
      </w:r>
    </w:p>
    <w:p>
      <w:pPr>
        <w:pStyle w:val="Compact"/>
        <w:numPr>
          <w:ilvl w:val="0"/>
          <w:numId w:val="1001"/>
        </w:numPr>
      </w:pPr>
      <w:r>
        <w:t xml:space="preserve">The instance runs</w:t>
      </w:r>
      <w:r>
        <w:t xml:space="preserve"> </w:t>
      </w:r>
      <w:r>
        <w:rPr>
          <w:b/>
          <w:bCs/>
        </w:rPr>
        <w:t xml:space="preserve">SQL Server 2022 or later</w:t>
      </w:r>
      <w:r>
        <w:t xml:space="preserve">, is</w:t>
      </w:r>
      <w:r>
        <w:t xml:space="preserve"> </w:t>
      </w:r>
      <w:r>
        <w:rPr>
          <w:b/>
          <w:bCs/>
        </w:rPr>
        <w:t xml:space="preserve">Arc-connected</w:t>
      </w:r>
      <w:r>
        <w:t xml:space="preserve"> </w:t>
      </w:r>
      <w:r>
        <w:t xml:space="preserve">with the Azure extension for SQL Server, has a validated managed-identity token, and has</w:t>
      </w:r>
      <w:r>
        <w:t xml:space="preserve"> </w:t>
      </w:r>
      <w:r>
        <w:rPr>
          <w:b/>
          <w:bCs/>
        </w:rPr>
        <w:t xml:space="preserve">Entra authentication configured with an Entra admin set</w:t>
      </w:r>
      <w:r>
        <w:t xml:space="preserve"> </w:t>
      </w:r>
      <w:r>
        <w:t xml:space="preserve">(</w:t>
      </w:r>
      <w:hyperlink r:id="rId17">
        <w:r>
          <w:rPr>
            <w:rStyle w:val="Hyperlink"/>
          </w:rPr>
          <w:t xml:space="preserve">Runbook R04</w:t>
        </w:r>
      </w:hyperlink>
      <w:r>
        <w:t xml:space="preserve">).</w:t>
      </w:r>
    </w:p>
    <w:p>
      <w:pPr>
        <w:pStyle w:val="Compact"/>
        <w:numPr>
          <w:ilvl w:val="0"/>
          <w:numId w:val="1001"/>
        </w:numPr>
      </w:pPr>
      <w:r>
        <w:t xml:space="preserve">The estate has been</w:t>
      </w:r>
      <w:r>
        <w:t xml:space="preserve"> </w:t>
      </w:r>
      <w:r>
        <w:rPr>
          <w:b/>
          <w:bCs/>
        </w:rPr>
        <w:t xml:space="preserve">consolidated</w:t>
      </w:r>
      <w:r>
        <w:t xml:space="preserve">: you’re migrating only instances that survive (</w:t>
      </w:r>
      <w:hyperlink r:id="rId18">
        <w:r>
          <w:rPr>
            <w:rStyle w:val="Hyperlink"/>
          </w:rPr>
          <w:t xml:space="preserve">Chapter 06</w:t>
        </w:r>
      </w:hyperlink>
      <w:r>
        <w:t xml:space="preserve">;</w:t>
      </w:r>
      <w:r>
        <w:t xml:space="preserve"> </w:t>
      </w:r>
      <w:hyperlink r:id="rId19">
        <w:r>
          <w:rPr>
            <w:rStyle w:val="Hyperlink"/>
          </w:rPr>
          <w:t xml:space="preserve">Runbook R02</w:t>
        </w:r>
      </w:hyperlink>
      <w:r>
        <w:t xml:space="preserve">).</w:t>
      </w:r>
    </w:p>
    <w:p>
      <w:pPr>
        <w:pStyle w:val="Compact"/>
        <w:numPr>
          <w:ilvl w:val="0"/>
          <w:numId w:val="1001"/>
        </w:numPr>
      </w:pPr>
      <w:r>
        <w:t xml:space="preserve">You have the</w:t>
      </w:r>
      <w:r>
        <w:t xml:space="preserve"> </w:t>
      </w:r>
      <w:hyperlink r:id="rId20">
        <w:r>
          <w:rPr>
            <w:rStyle w:val="Hyperlink"/>
          </w:rPr>
          <w:t xml:space="preserve">Runbook R03</w:t>
        </w:r>
      </w:hyperlink>
      <w:r>
        <w:t xml:space="preserve"> </w:t>
      </w:r>
      <w:r>
        <w:rPr>
          <w:rStyle w:val="VerbatimChar"/>
        </w:rPr>
        <w:t xml:space="preserve">…_logins.csv</w:t>
      </w:r>
      <w:r>
        <w:t xml:space="preserve"> </w:t>
      </w:r>
      <w:r>
        <w:t xml:space="preserve">for the instance: the</w:t>
      </w:r>
      <w:r>
        <w:t xml:space="preserve"> </w:t>
      </w:r>
      <w:r>
        <w:rPr>
          <w:rStyle w:val="VerbatimChar"/>
        </w:rPr>
        <w:t xml:space="preserve">WINDOWS_LOGIN</w:t>
      </w:r>
      <w:r>
        <w:t xml:space="preserve"> </w:t>
      </w:r>
      <w:r>
        <w:t xml:space="preserve">and</w:t>
      </w:r>
      <w:r>
        <w:t xml:space="preserve"> </w:t>
      </w:r>
      <w:r>
        <w:rPr>
          <w:rStyle w:val="VerbatimChar"/>
        </w:rPr>
        <w:t xml:space="preserve">WINDOWS_GROUP</w:t>
      </w:r>
      <w:r>
        <w:t xml:space="preserve"> </w:t>
      </w:r>
      <w:r>
        <w:t xml:space="preserve">rows you must reproduce as Entra logins, plus the orphaned logins and the</w:t>
      </w:r>
      <w:r>
        <w:t xml:space="preserve"> </w:t>
      </w:r>
      <w:r>
        <w:rPr>
          <w:rStyle w:val="VerbatimChar"/>
        </w:rPr>
        <w:t xml:space="preserve">sa</w:t>
      </w:r>
      <w:r>
        <w:t xml:space="preserve"> </w:t>
      </w:r>
      <w:r>
        <w:t xml:space="preserve">state to remediate.</w:t>
      </w:r>
    </w:p>
    <w:p>
      <w:pPr>
        <w:pStyle w:val="Compact"/>
        <w:numPr>
          <w:ilvl w:val="0"/>
          <w:numId w:val="1001"/>
        </w:numPr>
      </w:pPr>
      <w:r>
        <w:t xml:space="preserve">Clients trust the instance’s TLS certificate. Connections authenticated by Entra ID are always encrypted, and an untrusted certificate fails the login with a certificate-chain error.</w:t>
      </w:r>
      <w:r>
        <w:rPr>
          <w:rStyle w:val="FootnoteReference"/>
        </w:rPr>
        <w:footnoteReference w:id="21"/>
      </w:r>
    </w:p>
    <w:bookmarkEnd w:id="23"/>
    <w:bookmarkStart w:id="29" w:name="X621d6313ffc486c7e4c11acb2db567d4403a95a"/>
    <w:p>
      <w:pPr>
        <w:pStyle w:val="Heading2"/>
      </w:pPr>
      <w:r>
        <w:t xml:space="preserve">Step 1 — Generate the login statements (dry run first)</w:t>
      </w:r>
    </w:p>
    <w:p>
      <w:pPr>
        <w:pStyle w:val="FirstParagraph"/>
      </w:pPr>
      <w:r>
        <w:t xml:space="preserve">Map each Windows login, or preferably the Entra</w:t>
      </w:r>
      <w:r>
        <w:t xml:space="preserve"> </w:t>
      </w:r>
      <w:r>
        <w:rPr>
          <w:b/>
          <w:bCs/>
        </w:rPr>
        <w:t xml:space="preserve">group</w:t>
      </w:r>
      <w:r>
        <w:t xml:space="preserve"> </w:t>
      </w:r>
      <w:r>
        <w:t xml:space="preserve">that should replace a set of them, to an external-provider login. Group-based logins are the target, because they remove per-user churn. Run the statements in</w:t>
      </w:r>
      <w:r>
        <w:t xml:space="preserve"> </w:t>
      </w:r>
      <w:r>
        <w:rPr>
          <w:rStyle w:val="VerbatimChar"/>
        </w:rPr>
        <w:t xml:space="preserve">master</w:t>
      </w:r>
      <w:r>
        <w:t xml:space="preserve">; any Entra account with</w:t>
      </w:r>
      <w:r>
        <w:t xml:space="preserve"> </w:t>
      </w:r>
      <w:r>
        <w:rPr>
          <w:rStyle w:val="VerbatimChar"/>
        </w:rPr>
        <w:t xml:space="preserve">ALTER ANY LOGIN</w:t>
      </w:r>
      <w:r>
        <w:t xml:space="preserve"> </w:t>
      </w:r>
      <w:r>
        <w:t xml:space="preserve">can create Entra logins, otherwise a</w:t>
      </w:r>
      <w:r>
        <w:t xml:space="preserve"> </w:t>
      </w:r>
      <w:r>
        <w:rPr>
          <w:rStyle w:val="VerbatimChar"/>
        </w:rPr>
        <w:t xml:space="preserve">sysadmin</w:t>
      </w:r>
      <w:r>
        <w:t xml:space="preserve"> </w:t>
      </w:r>
      <w:r>
        <w:t xml:space="preserve">must.</w:t>
      </w:r>
      <w:r>
        <w:rPr>
          <w:rStyle w:val="FootnoteReference"/>
        </w:rPr>
        <w:footnoteReference w:id="24"/>
      </w:r>
      <w:r>
        <w:t xml:space="preserve"> </w:t>
      </w:r>
      <w:r>
        <w:t xml:space="preserve">For a user the name is the user principal name; for a group or an application it’s the name of the Entra object.</w:t>
      </w:r>
      <w:r>
        <w:rPr>
          <w:rStyle w:val="FootnoteReference"/>
        </w:rPr>
        <w:footnoteReference w:id="25"/>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warning.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Illustrative, not tested against your estate</w:t>
            </w:r>
          </w:p>
        </w:tc>
      </w:tr>
      <w:tr>
        <w:trPr>
          <w:cantSplit/>
        </w:trPr>
        <w:tc>
          <w:tcPr>
            <w:tcMar>
              <w:top w:w="108" w:type="dxa"/>
              <w:bottom w:w="108" w:type="dxa"/>
            </w:tcMar>
          </w:tcPr>
          <w:p>
            <w:pPr>
              <w:pStyle w:val="BodyText"/>
            </w:pPr>
            <w:pPr>
              <w:spacing w:before="16" w:after="16"/>
            </w:pPr>
            <w:r>
              <w:t xml:space="preserve">The T-SQL and PowerShell in this runbook are illustrative. They haven’t been tested against a production SQL Server estate or tenant. Review the generated scripts line by line, run them first on a pilot instance, and execute in production only in an approved change window.</w:t>
            </w:r>
          </w:p>
          <w:p/>
        </w:tc>
      </w:tr>
    </w:tbl>
    <w:p>
      <w:pPr>
        <w:pStyle w:val="BodyText"/>
      </w:pPr>
      <w:r>
        <w:t xml:space="preserve"> </w:t>
      </w:r>
    </w:p>
    <w:p>
      <w:pPr>
        <w:pStyle w:val="SourceCode"/>
      </w:pPr>
      <w:r>
        <w:rPr>
          <w:rStyle w:val="KeywordTok"/>
        </w:rPr>
        <w:t xml:space="preserve">USE</w:t>
      </w:r>
      <w:r>
        <w:rPr>
          <w:rStyle w:val="NormalTok"/>
        </w:rPr>
        <w:t xml:space="preserve"> </w:t>
      </w:r>
      <w:r>
        <w:rPr>
          <w:rStyle w:val="KeywordTok"/>
        </w:rPr>
        <w:t xml:space="preserve">master</w:t>
      </w:r>
      <w:r>
        <w:rPr>
          <w:rStyle w:val="NormalTok"/>
        </w:rPr>
        <w:t xml:space="preserve">;</w:t>
      </w:r>
      <w:r>
        <w:br/>
      </w:r>
      <w:r>
        <w:br/>
      </w:r>
      <w:r>
        <w:rPr>
          <w:rStyle w:val="CommentTok"/>
        </w:rPr>
        <w:t xml:space="preserve">-- Per group (preferred): one Entra group login replaces many individual logins.</w:t>
      </w:r>
      <w:r>
        <w:br/>
      </w:r>
      <w:r>
        <w:rPr>
          <w:rStyle w:val="ControlFlowTok"/>
        </w:rPr>
        <w:t xml:space="preserve">IF</w:t>
      </w:r>
      <w:r>
        <w:rPr>
          <w:rStyle w:val="NormalTok"/>
        </w:rPr>
        <w:t xml:space="preserve"> </w:t>
      </w:r>
      <w:r>
        <w:rPr>
          <w:rStyle w:val="KeywordTok"/>
        </w:rPr>
        <w:t xml:space="preserve">NOT</w:t>
      </w:r>
      <w:r>
        <w:rPr>
          <w:rStyle w:val="NormalTok"/>
        </w:rPr>
        <w:t xml:space="preserve"> </w:t>
      </w:r>
      <w:r>
        <w:rPr>
          <w:rStyle w:val="KeywordTok"/>
        </w:rPr>
        <w:t xml:space="preserve">EXISTS</w:t>
      </w:r>
      <w:r>
        <w:rPr>
          <w:rStyle w:val="NormalTok"/>
        </w:rPr>
        <w:t xml:space="preserve"> (</w:t>
      </w:r>
      <w:r>
        <w:rPr>
          <w:rStyle w:val="KeywordTok"/>
        </w:rPr>
        <w:t xml:space="preserve">SELECT</w:t>
      </w:r>
      <w:r>
        <w:rPr>
          <w:rStyle w:val="NormalTok"/>
        </w:rPr>
        <w:t xml:space="preserve"> </w:t>
      </w:r>
      <w:r>
        <w:rPr>
          <w:rStyle w:val="DecValTok"/>
        </w:rPr>
        <w:t xml:space="preserve">1</w:t>
      </w:r>
      <w:r>
        <w:rPr>
          <w:rStyle w:val="NormalTok"/>
        </w:rPr>
        <w:t xml:space="preserve"> </w:t>
      </w:r>
      <w:r>
        <w:rPr>
          <w:rStyle w:val="KeywordTok"/>
        </w:rPr>
        <w:t xml:space="preserve">FROM</w:t>
      </w:r>
      <w:r>
        <w:rPr>
          <w:rStyle w:val="NormalTok"/>
        </w:rPr>
        <w:t xml:space="preserve"> sys.server_principals </w:t>
      </w:r>
      <w:r>
        <w:rPr>
          <w:rStyle w:val="KeywordTok"/>
        </w:rPr>
        <w:t xml:space="preserve">WHERE</w:t>
      </w:r>
      <w:r>
        <w:rPr>
          <w:rStyle w:val="NormalTok"/>
        </w:rPr>
        <w:t xml:space="preserve"> name </w:t>
      </w:r>
      <w:r>
        <w:rPr>
          <w:rStyle w:val="OperatorTok"/>
        </w:rPr>
        <w:t xml:space="preserve">=</w:t>
      </w:r>
      <w:r>
        <w:rPr>
          <w:rStyle w:val="NormalTok"/>
        </w:rPr>
        <w:t xml:space="preserve"> N</w:t>
      </w:r>
      <w:r>
        <w:rPr>
          <w:rStyle w:val="StringTok"/>
        </w:rPr>
        <w:t xml:space="preserve">'sql-app-readers'</w:t>
      </w:r>
      <w:r>
        <w:rPr>
          <w:rStyle w:val="NormalTok"/>
        </w:rPr>
        <w:t xml:space="preserve">)</w:t>
      </w:r>
      <w:r>
        <w:br/>
      </w:r>
      <w:r>
        <w:rPr>
          <w:rStyle w:val="NormalTok"/>
        </w:rPr>
        <w:t xml:space="preserve">    </w:t>
      </w:r>
      <w:r>
        <w:rPr>
          <w:rStyle w:val="KeywordTok"/>
        </w:rPr>
        <w:t xml:space="preserve">CREATE</w:t>
      </w:r>
      <w:r>
        <w:rPr>
          <w:rStyle w:val="NormalTok"/>
        </w:rPr>
        <w:t xml:space="preserve"> LOGIN [sql</w:t>
      </w:r>
      <w:r>
        <w:rPr>
          <w:rStyle w:val="OperatorTok"/>
        </w:rPr>
        <w:t xml:space="preserve">-</w:t>
      </w:r>
      <w:r>
        <w:rPr>
          <w:rStyle w:val="NormalTok"/>
        </w:rPr>
        <w:t xml:space="preserve">app</w:t>
      </w:r>
      <w:r>
        <w:rPr>
          <w:rStyle w:val="OperatorTok"/>
        </w:rPr>
        <w:t xml:space="preserve">-</w:t>
      </w:r>
      <w:r>
        <w:rPr>
          <w:rStyle w:val="NormalTok"/>
        </w:rPr>
        <w:t xml:space="preserve">readers] </w:t>
      </w:r>
      <w:r>
        <w:rPr>
          <w:rStyle w:val="KeywordTok"/>
        </w:rPr>
        <w:t xml:space="preserve">FROM</w:t>
      </w:r>
      <w:r>
        <w:rPr>
          <w:rStyle w:val="NormalTok"/>
        </w:rPr>
        <w:t xml:space="preserve"> EXTERNAL PROVIDER;</w:t>
      </w:r>
      <w:r>
        <w:br/>
      </w:r>
      <w:r>
        <w:br/>
      </w:r>
      <w:r>
        <w:rPr>
          <w:rStyle w:val="CommentTok"/>
        </w:rPr>
        <w:t xml:space="preserve">-- Per user (only where a group isn't appropriate).</w:t>
      </w:r>
      <w:r>
        <w:br/>
      </w:r>
      <w:r>
        <w:rPr>
          <w:rStyle w:val="ControlFlowTok"/>
        </w:rPr>
        <w:t xml:space="preserve">IF</w:t>
      </w:r>
      <w:r>
        <w:rPr>
          <w:rStyle w:val="NormalTok"/>
        </w:rPr>
        <w:t xml:space="preserve"> </w:t>
      </w:r>
      <w:r>
        <w:rPr>
          <w:rStyle w:val="KeywordTok"/>
        </w:rPr>
        <w:t xml:space="preserve">NOT</w:t>
      </w:r>
      <w:r>
        <w:rPr>
          <w:rStyle w:val="NormalTok"/>
        </w:rPr>
        <w:t xml:space="preserve"> </w:t>
      </w:r>
      <w:r>
        <w:rPr>
          <w:rStyle w:val="KeywordTok"/>
        </w:rPr>
        <w:t xml:space="preserve">EXISTS</w:t>
      </w:r>
      <w:r>
        <w:rPr>
          <w:rStyle w:val="NormalTok"/>
        </w:rPr>
        <w:t xml:space="preserve"> (</w:t>
      </w:r>
      <w:r>
        <w:rPr>
          <w:rStyle w:val="KeywordTok"/>
        </w:rPr>
        <w:t xml:space="preserve">SELECT</w:t>
      </w:r>
      <w:r>
        <w:rPr>
          <w:rStyle w:val="NormalTok"/>
        </w:rPr>
        <w:t xml:space="preserve"> </w:t>
      </w:r>
      <w:r>
        <w:rPr>
          <w:rStyle w:val="DecValTok"/>
        </w:rPr>
        <w:t xml:space="preserve">1</w:t>
      </w:r>
      <w:r>
        <w:rPr>
          <w:rStyle w:val="NormalTok"/>
        </w:rPr>
        <w:t xml:space="preserve"> </w:t>
      </w:r>
      <w:r>
        <w:rPr>
          <w:rStyle w:val="KeywordTok"/>
        </w:rPr>
        <w:t xml:space="preserve">FROM</w:t>
      </w:r>
      <w:r>
        <w:rPr>
          <w:rStyle w:val="NormalTok"/>
        </w:rPr>
        <w:t xml:space="preserve"> sys.server_principals </w:t>
      </w:r>
      <w:r>
        <w:rPr>
          <w:rStyle w:val="KeywordTok"/>
        </w:rPr>
        <w:t xml:space="preserve">WHERE</w:t>
      </w:r>
      <w:r>
        <w:rPr>
          <w:rStyle w:val="NormalTok"/>
        </w:rPr>
        <w:t xml:space="preserve"> name </w:t>
      </w:r>
      <w:r>
        <w:rPr>
          <w:rStyle w:val="OperatorTok"/>
        </w:rPr>
        <w:t xml:space="preserve">=</w:t>
      </w:r>
      <w:r>
        <w:rPr>
          <w:rStyle w:val="NormalTok"/>
        </w:rPr>
        <w:t xml:space="preserve"> N</w:t>
      </w:r>
      <w:r>
        <w:rPr>
          <w:rStyle w:val="StringTok"/>
        </w:rPr>
        <w:t xml:space="preserve">'jdoe@contoso.com'</w:t>
      </w:r>
      <w:r>
        <w:rPr>
          <w:rStyle w:val="NormalTok"/>
        </w:rPr>
        <w:t xml:space="preserve">)</w:t>
      </w:r>
      <w:r>
        <w:br/>
      </w:r>
      <w:r>
        <w:rPr>
          <w:rStyle w:val="NormalTok"/>
        </w:rPr>
        <w:t xml:space="preserve">    </w:t>
      </w:r>
      <w:r>
        <w:rPr>
          <w:rStyle w:val="KeywordTok"/>
        </w:rPr>
        <w:t xml:space="preserve">CREATE</w:t>
      </w:r>
      <w:r>
        <w:rPr>
          <w:rStyle w:val="NormalTok"/>
        </w:rPr>
        <w:t xml:space="preserve"> LOGIN [jdoe@contoso.com] </w:t>
      </w:r>
      <w:r>
        <w:rPr>
          <w:rStyle w:val="KeywordTok"/>
        </w:rPr>
        <w:t xml:space="preserve">FROM</w:t>
      </w:r>
      <w:r>
        <w:rPr>
          <w:rStyle w:val="NormalTok"/>
        </w:rPr>
        <w:t xml:space="preserve"> EXTERNAL PROVIDER;</w:t>
      </w:r>
      <w:r>
        <w:br/>
      </w:r>
      <w:r>
        <w:br/>
      </w:r>
      <w:r>
        <w:rPr>
          <w:rStyle w:val="CommentTok"/>
        </w:rPr>
        <w:t xml:space="preserve">-- Entra logins appear in sys.server_principals with type E (user or application) or X (group).</w:t>
      </w:r>
      <w:r>
        <w:br/>
      </w:r>
      <w:r>
        <w:rPr>
          <w:rStyle w:val="KeywordTok"/>
        </w:rPr>
        <w:t xml:space="preserve">SELECT</w:t>
      </w:r>
      <w:r>
        <w:rPr>
          <w:rStyle w:val="NormalTok"/>
        </w:rPr>
        <w:t xml:space="preserve"> name, </w:t>
      </w:r>
      <w:r>
        <w:rPr>
          <w:rStyle w:val="KeywordTok"/>
        </w:rPr>
        <w:t xml:space="preserve">type</w:t>
      </w:r>
      <w:r>
        <w:rPr>
          <w:rStyle w:val="NormalTok"/>
        </w:rPr>
        <w:t xml:space="preserve">, type_desc </w:t>
      </w:r>
      <w:r>
        <w:rPr>
          <w:rStyle w:val="KeywordTok"/>
        </w:rPr>
        <w:t xml:space="preserve">FROM</w:t>
      </w:r>
      <w:r>
        <w:rPr>
          <w:rStyle w:val="NormalTok"/>
        </w:rPr>
        <w:t xml:space="preserve"> sys.server_principals </w:t>
      </w:r>
      <w:r>
        <w:rPr>
          <w:rStyle w:val="KeywordTok"/>
        </w:rPr>
        <w:t xml:space="preserve">WHERE</w:t>
      </w:r>
      <w:r>
        <w:rPr>
          <w:rStyle w:val="NormalTok"/>
        </w:rPr>
        <w:t xml:space="preserve"> </w:t>
      </w:r>
      <w:r>
        <w:rPr>
          <w:rStyle w:val="KeywordTok"/>
        </w:rPr>
        <w:t xml:space="preserve">type</w:t>
      </w:r>
      <w:r>
        <w:rPr>
          <w:rStyle w:val="NormalTok"/>
        </w:rPr>
        <w:t xml:space="preserve"> </w:t>
      </w:r>
      <w:r>
        <w:rPr>
          <w:rStyle w:val="KeywordTok"/>
        </w:rPr>
        <w:t xml:space="preserve">IN</w:t>
      </w:r>
      <w:r>
        <w:rPr>
          <w:rStyle w:val="NormalTok"/>
        </w:rPr>
        <w:t xml:space="preserve"> (</w:t>
      </w:r>
      <w:r>
        <w:rPr>
          <w:rStyle w:val="StringTok"/>
        </w:rPr>
        <w:t xml:space="preserve">'E'</w:t>
      </w:r>
      <w:r>
        <w:rPr>
          <w:rStyle w:val="NormalTok"/>
        </w:rPr>
        <w:t xml:space="preserve">, </w:t>
      </w:r>
      <w:r>
        <w:rPr>
          <w:rStyle w:val="StringTok"/>
        </w:rPr>
        <w:t xml:space="preserve">'X'</w:t>
      </w:r>
      <w:r>
        <w:rPr>
          <w:rStyle w:val="NormalTok"/>
        </w:rPr>
        <w:t xml:space="preserve">);</w:t>
      </w:r>
    </w:p>
    <w:p>
      <w:pPr>
        <w:pStyle w:val="FirstParagraph"/>
      </w:pPr>
      <w:r>
        <w:t xml:space="preserve">Generate these idempotently from the audit output and a reviewed mapping, rather than by hand:</w:t>
      </w:r>
    </w:p>
    <w:p>
      <w:pPr>
        <w:pStyle w:val="SourceCode"/>
      </w:pPr>
      <w:r>
        <w:rPr>
          <w:rStyle w:val="CommentTok"/>
        </w:rPr>
        <w:t xml:space="preserve"># Dry run: emit reviewable T-SQL. Writes a .sql file; executes nothing.</w:t>
      </w:r>
      <w:r>
        <w:br/>
      </w:r>
      <w:r>
        <w:rPr>
          <w:rStyle w:val="CommentTok"/>
        </w:rPr>
        <w:t xml:space="preserve"># login-mapping.csv columns: WindowsLogin, EntraPrincipal</w:t>
      </w:r>
      <w:r>
        <w:br/>
      </w:r>
      <w:r>
        <w:rPr>
          <w:rStyle w:val="CommentTok"/>
        </w:rPr>
        <w:t xml:space="preserve">#   (the UPN for a user, the Entra display name for a group or application).</w:t>
      </w:r>
      <w:r>
        <w:br/>
      </w:r>
      <w:r>
        <w:rPr>
          <w:rStyle w:val="VariableTok"/>
        </w:rPr>
        <w:t xml:space="preserve">$map</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FunctionTok"/>
        </w:rPr>
        <w:t xml:space="preserve">Import-Csv</w:t>
      </w:r>
      <w:r>
        <w:rPr>
          <w:rStyle w:val="NormalTok"/>
        </w:rPr>
        <w:t xml:space="preserve"> </w:t>
      </w:r>
      <w:r>
        <w:rPr>
          <w:rStyle w:val="OperatorTok"/>
        </w:rPr>
        <w:t xml:space="preserve">.</w:t>
      </w:r>
      <w:r>
        <w:rPr>
          <w:rStyle w:val="NormalTok"/>
        </w:rPr>
        <w:t xml:space="preserve">\output\login-mapping</w:t>
      </w:r>
      <w:r>
        <w:rPr>
          <w:rStyle w:val="OperatorTok"/>
        </w:rPr>
        <w:t xml:space="preserve">.</w:t>
      </w:r>
      <w:r>
        <w:rPr>
          <w:rStyle w:val="FunctionTok"/>
        </w:rPr>
        <w:t xml:space="preserve">csv</w:t>
      </w:r>
      <w:r>
        <w:rPr>
          <w:rStyle w:val="NormalTok"/>
        </w:rPr>
        <w:t xml:space="preserve"> </w:t>
      </w:r>
      <w:r>
        <w:rPr>
          <w:rStyle w:val="OperatorTok"/>
        </w:rPr>
        <w:t xml:space="preserve">|</w:t>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$map</w:t>
      </w:r>
      <w:r>
        <w:rPr>
          <w:rStyle w:val="OperatorTok"/>
        </w:rPr>
        <w:t xml:space="preserve">[</w:t>
      </w:r>
      <w:r>
        <w:rPr>
          <w:rStyle w:val="VariableTok"/>
        </w:rPr>
        <w:t xml:space="preserve">$_</w:t>
      </w:r>
      <w:r>
        <w:rPr>
          <w:rStyle w:val="OperatorTok"/>
        </w:rPr>
        <w:t xml:space="preserve">.</w:t>
      </w:r>
      <w:r>
        <w:rPr>
          <w:rStyle w:val="FunctionTok"/>
        </w:rPr>
        <w:t xml:space="preserve">WindowsLogin</w:t>
      </w:r>
      <w:r>
        <w:rPr>
          <w:rStyle w:val="OperatorTok"/>
        </w:rPr>
        <w:t xml:space="preserve">]</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EntraPrincipal</w:t>
      </w:r>
      <w:r>
        <w:rPr>
          <w:rStyle w:val="NormalTok"/>
        </w:rPr>
        <w:t xml:space="preserve"> </w:t>
      </w:r>
      <w:r>
        <w:rPr>
          <w:rStyle w:val="OperatorTok"/>
        </w:rPr>
        <w:t xml:space="preserve">}</w:t>
      </w:r>
      <w:r>
        <w:br/>
      </w:r>
      <w:r>
        <w:br/>
      </w:r>
      <w:r>
        <w:rPr>
          <w:rStyle w:val="VariableTok"/>
        </w:rPr>
        <w:t xml:space="preserve">$rows</w:t>
      </w:r>
      <w:r>
        <w:rPr>
          <w:rStyle w:val="NormalTok"/>
        </w:rPr>
        <w:t xml:space="preserve"> </w:t>
      </w:r>
      <w:r>
        <w:rPr>
          <w:rStyle w:val="OperatorTok"/>
        </w:rPr>
        <w:t xml:space="preserve">=</w:t>
      </w:r>
      <w:r>
        <w:rPr>
          <w:rStyle w:val="NormalTok"/>
        </w:rPr>
        <w:t xml:space="preserve"> </w:t>
      </w:r>
      <w:r>
        <w:rPr>
          <w:rStyle w:val="FunctionTok"/>
        </w:rPr>
        <w:t xml:space="preserve">Import-Csv</w:t>
      </w:r>
      <w:r>
        <w:rPr>
          <w:rStyle w:val="NormalTok"/>
        </w:rPr>
        <w:t xml:space="preserve"> </w:t>
      </w:r>
      <w:r>
        <w:rPr>
          <w:rStyle w:val="OperatorTok"/>
        </w:rPr>
        <w:t xml:space="preserve">.</w:t>
      </w:r>
      <w:r>
        <w:rPr>
          <w:rStyle w:val="NormalTok"/>
        </w:rPr>
        <w:t xml:space="preserve">\output\FMP_Spec3_D1</w:t>
      </w:r>
      <w:r>
        <w:rPr>
          <w:rStyle w:val="OperatorTok"/>
        </w:rPr>
        <w:t xml:space="preserve">.</w:t>
      </w:r>
      <w:r>
        <w:rPr>
          <w:rStyle w:val="NormalTok"/>
        </w:rPr>
        <w:t xml:space="preserve">8_SQLServerAuthAudit_</w:t>
      </w:r>
      <w:r>
        <w:rPr>
          <w:rStyle w:val="OperatorTok"/>
        </w:rPr>
        <w:t xml:space="preserve">&lt;</w:t>
      </w:r>
      <w:r>
        <w:rPr>
          <w:rStyle w:val="NormalTok"/>
        </w:rPr>
        <w:t xml:space="preserve">domain</w:t>
      </w:r>
      <w:r>
        <w:rPr>
          <w:rStyle w:val="OperatorTok"/>
        </w:rPr>
        <w:t xml:space="preserve">&gt;</w:t>
      </w:r>
      <w:r>
        <w:rPr>
          <w:rStyle w:val="NormalTok"/>
        </w:rPr>
        <w:t xml:space="preserve">_</w:t>
      </w:r>
      <w:r>
        <w:rPr>
          <w:rStyle w:val="OperatorTok"/>
        </w:rPr>
        <w:t xml:space="preserve">&lt;</w:t>
      </w:r>
      <w:r>
        <w:rPr>
          <w:rStyle w:val="NormalTok"/>
        </w:rPr>
        <w:t xml:space="preserve">timestamp</w:t>
      </w:r>
      <w:r>
        <w:rPr>
          <w:rStyle w:val="OperatorTok"/>
        </w:rPr>
        <w:t xml:space="preserve">&gt;</w:t>
      </w:r>
      <w:r>
        <w:rPr>
          <w:rStyle w:val="NormalTok"/>
        </w:rPr>
        <w:t xml:space="preserve">_logins</w:t>
      </w:r>
      <w:r>
        <w:rPr>
          <w:rStyle w:val="OperatorTok"/>
        </w:rPr>
        <w:t xml:space="preserve">.</w:t>
      </w:r>
      <w:r>
        <w:rPr>
          <w:rStyle w:val="FunctionTok"/>
        </w:rPr>
        <w:t xml:space="preserve">csv</w:t>
      </w:r>
      <w:r>
        <w:rPr>
          <w:rStyle w:val="NormalTok"/>
        </w:rPr>
        <w:t xml:space="preserve"> </w:t>
      </w:r>
      <w:r>
        <w:rPr>
          <w:rStyle w:val="OperatorTok"/>
        </w:rPr>
        <w:t xml:space="preserve">|</w:t>
      </w:r>
      <w:r>
        <w:br/>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$_</w:t>
      </w:r>
      <w:r>
        <w:rPr>
          <w:rStyle w:val="OperatorTok"/>
        </w:rPr>
        <w:t xml:space="preserve">.</w:t>
      </w:r>
      <w:r>
        <w:rPr>
          <w:rStyle w:val="FunctionTok"/>
        </w:rPr>
        <w:t xml:space="preserve">LoginType</w:t>
      </w:r>
      <w:r>
        <w:rPr>
          <w:rStyle w:val="NormalTok"/>
        </w:rPr>
        <w:t xml:space="preserve"> </w:t>
      </w:r>
      <w:r>
        <w:rPr>
          <w:rStyle w:val="OperatorTok"/>
        </w:rPr>
        <w:t xml:space="preserve">-</w:t>
      </w:r>
      <w:r>
        <w:rPr>
          <w:rStyle w:val="NormalTok"/>
        </w:rPr>
        <w:t xml:space="preserve">in </w:t>
      </w:r>
      <w:r>
        <w:rPr>
          <w:rStyle w:val="StringTok"/>
        </w:rPr>
        <w:t xml:space="preserve">'WINDOWS_LOGIN'</w:t>
      </w:r>
      <w:r>
        <w:rPr>
          <w:rStyle w:val="OperatorTok"/>
        </w:rPr>
        <w:t xml:space="preserve">,</w:t>
      </w:r>
      <w:r>
        <w:rPr>
          <w:rStyle w:val="NormalTok"/>
        </w:rPr>
        <w:t xml:space="preserve"> </w:t>
      </w:r>
      <w:r>
        <w:rPr>
          <w:rStyle w:val="StringTok"/>
        </w:rPr>
        <w:t xml:space="preserve">'WINDOWS_GROUP'</w:t>
      </w:r>
      <w:r>
        <w:rPr>
          <w:rStyle w:val="NormalTok"/>
        </w:rPr>
        <w:t xml:space="preserve"> </w:t>
      </w:r>
      <w:r>
        <w:rPr>
          <w:rStyle w:val="OperatorTok"/>
        </w:rPr>
        <w:t xml:space="preserve">-and</w:t>
      </w:r>
      <w:r>
        <w:br/>
      </w:r>
      <w:r>
        <w:rPr>
          <w:rStyle w:val="NormalTok"/>
        </w:rPr>
        <w:t xml:space="preserve">                   </w:t>
      </w:r>
      <w:r>
        <w:rPr>
          <w:rStyle w:val="VariableTok"/>
        </w:rPr>
        <w:t xml:space="preserve">$_</w:t>
      </w:r>
      <w:r>
        <w:rPr>
          <w:rStyle w:val="OperatorTok"/>
        </w:rPr>
        <w:t xml:space="preserve">.</w:t>
      </w:r>
      <w:r>
        <w:rPr>
          <w:rStyle w:val="FunctionTok"/>
        </w:rPr>
        <w:t xml:space="preserve">IsDisabled</w:t>
      </w:r>
      <w:r>
        <w:rPr>
          <w:rStyle w:val="NormalTok"/>
        </w:rPr>
        <w:t xml:space="preserve"> </w:t>
      </w:r>
      <w:r>
        <w:rPr>
          <w:rStyle w:val="OperatorTok"/>
        </w:rPr>
        <w:t xml:space="preserve">-eq</w:t>
      </w:r>
      <w:r>
        <w:rPr>
          <w:rStyle w:val="NormalTok"/>
        </w:rPr>
        <w:t xml:space="preserve"> </w:t>
      </w:r>
      <w:r>
        <w:rPr>
          <w:rStyle w:val="StringTok"/>
        </w:rPr>
        <w:t xml:space="preserve">'False'</w:t>
      </w:r>
      <w:r>
        <w:rPr>
          <w:rStyle w:val="NormalTok"/>
        </w:rPr>
        <w:t xml:space="preserve"> </w:t>
      </w:r>
      <w:r>
        <w:rPr>
          <w:rStyle w:val="OperatorTok"/>
        </w:rPr>
        <w:t xml:space="preserve">-and</w:t>
      </w:r>
      <w:r>
        <w:br/>
      </w:r>
      <w:r>
        <w:rPr>
          <w:rStyle w:val="NormalTok"/>
        </w:rPr>
        <w:t xml:space="preserve">                   </w:t>
      </w:r>
      <w:r>
        <w:rPr>
          <w:rStyle w:val="VariableTok"/>
        </w:rPr>
        <w:t xml:space="preserve">$_</w:t>
      </w:r>
      <w:r>
        <w:rPr>
          <w:rStyle w:val="OperatorTok"/>
        </w:rPr>
        <w:t xml:space="preserve">.</w:t>
      </w:r>
      <w:r>
        <w:rPr>
          <w:rStyle w:val="FunctionTok"/>
        </w:rPr>
        <w:t xml:space="preserve">LoginName</w:t>
      </w:r>
      <w:r>
        <w:rPr>
          <w:rStyle w:val="NormalTok"/>
        </w:rPr>
        <w:t xml:space="preserve"> </w:t>
      </w:r>
      <w:r>
        <w:rPr>
          <w:rStyle w:val="OperatorTok"/>
        </w:rPr>
        <w:t xml:space="preserve">-notmatch</w:t>
      </w:r>
      <w:r>
        <w:rPr>
          <w:rStyle w:val="NormalTok"/>
        </w:rPr>
        <w:t xml:space="preserve"> </w:t>
      </w:r>
      <w:r>
        <w:rPr>
          <w:rStyle w:val="StringTok"/>
        </w:rPr>
        <w:t xml:space="preserve">'^(NT SERVICE|NT AUTHORITY|BUILTIN)\\'</w:t>
      </w:r>
      <w:r>
        <w:rPr>
          <w:rStyle w:val="NormalTok"/>
        </w:rPr>
        <w:t xml:space="preserve"> </w:t>
      </w:r>
      <w:r>
        <w:rPr>
          <w:rStyle w:val="OperatorTok"/>
        </w:rPr>
        <w:t xml:space="preserve">}</w:t>
      </w:r>
      <w:r>
        <w:br/>
      </w:r>
      <w:r>
        <w:br/>
      </w:r>
      <w:r>
        <w:rPr>
          <w:rStyle w:val="VariableTok"/>
        </w:rPr>
        <w:t xml:space="preserve">$unresolved</w:t>
      </w:r>
      <w:r>
        <w:rPr>
          <w:rStyle w:val="NormalTok"/>
        </w:rPr>
        <w:t xml:space="preserve"> </w:t>
      </w:r>
      <w:r>
        <w:rPr>
          <w:rStyle w:val="OperatorTok"/>
        </w:rPr>
        <w:t xml:space="preserve">=</w:t>
      </w:r>
      <w:r>
        <w:rPr>
          <w:rStyle w:val="NormalTok"/>
        </w:rPr>
        <w:t xml:space="preserve"> </w:t>
      </w:r>
      <w:r>
        <w:rPr>
          <w:rStyle w:val="VariableTok"/>
        </w:rPr>
        <w:t xml:space="preserve">$rows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OperatorTok"/>
        </w:rPr>
        <w:t xml:space="preserve">-not</w:t>
      </w:r>
      <w:r>
        <w:rPr>
          <w:rStyle w:val="NormalTok"/>
        </w:rPr>
        <w:t xml:space="preserve"> </w:t>
      </w:r>
      <w:r>
        <w:rPr>
          <w:rStyle w:val="VariableTok"/>
        </w:rPr>
        <w:t xml:space="preserve">$map</w:t>
      </w:r>
      <w:r>
        <w:rPr>
          <w:rStyle w:val="OperatorTok"/>
        </w:rPr>
        <w:t xml:space="preserve">.</w:t>
      </w:r>
      <w:r>
        <w:rPr>
          <w:rStyle w:val="FunctionTok"/>
        </w:rPr>
        <w:t xml:space="preserve">ContainsKey</w:t>
      </w:r>
      <w:r>
        <w:rPr>
          <w:rStyle w:val="OperatorTok"/>
        </w:rPr>
        <w:t xml:space="preserve">(</w:t>
      </w:r>
      <w:r>
        <w:rPr>
          <w:rStyle w:val="VariableTok"/>
        </w:rPr>
        <w:t xml:space="preserve">$_</w:t>
      </w:r>
      <w:r>
        <w:rPr>
          <w:rStyle w:val="OperatorTok"/>
        </w:rPr>
        <w:t xml:space="preserve">.</w:t>
      </w:r>
      <w:r>
        <w:rPr>
          <w:rStyle w:val="FunctionTok"/>
        </w:rPr>
        <w:t xml:space="preserve">LoginName</w:t>
      </w:r>
      <w:r>
        <w:rPr>
          <w:rStyle w:val="OperatorTok"/>
        </w:rPr>
        <w:t xml:space="preserve">)</w:t>
      </w:r>
      <w:r>
        <w:rPr>
          <w:rStyle w:val="NormalTok"/>
        </w:rPr>
        <w:t xml:space="preserve"> </w:t>
      </w:r>
      <w:r>
        <w:rPr>
          <w:rStyle w:val="OperatorTok"/>
        </w:rPr>
        <w:t xml:space="preserve">}</w:t>
      </w:r>
      <w:r>
        <w:br/>
      </w:r>
      <w:r>
        <w:rPr>
          <w:rStyle w:val="VariableTok"/>
        </w:rPr>
        <w:t xml:space="preserve">$principals</w:t>
      </w:r>
      <w:r>
        <w:rPr>
          <w:rStyle w:val="NormalTok"/>
        </w:rPr>
        <w:t xml:space="preserve"> </w:t>
      </w:r>
      <w:r>
        <w:rPr>
          <w:rStyle w:val="OperatorTok"/>
        </w:rPr>
        <w:t xml:space="preserve">=</w:t>
      </w:r>
      <w:r>
        <w:rPr>
          <w:rStyle w:val="NormalTok"/>
        </w:rPr>
        <w:t xml:space="preserve"> </w:t>
      </w:r>
      <w:r>
        <w:rPr>
          <w:rStyle w:val="VariableTok"/>
        </w:rPr>
        <w:t xml:space="preserve">$rows</w:t>
      </w:r>
      <w:r>
        <w:rPr>
          <w:rStyle w:val="NormalTok"/>
        </w:rPr>
        <w:t xml:space="preserve"> </w:t>
      </w:r>
      <w:r>
        <w:rPr>
          <w:rStyle w:val="OperatorTok"/>
        </w:rPr>
        <w:t xml:space="preserve">|</w:t>
      </w:r>
      <w:r>
        <w:rPr>
          <w:rStyle w:val="NormalTok"/>
        </w:rPr>
        <w:t xml:space="preserve"> </w:t>
      </w:r>
      <w:r>
        <w:rPr>
          <w:rStyle w:val="FunctionTok"/>
        </w:rPr>
        <w:t xml:space="preserve">Where-Object</w:t>
      </w:r>
      <w:r>
        <w:rPr>
          <w:rStyle w:val="NormalTok"/>
        </w:rPr>
        <w:t xml:space="preserve"> </w:t>
      </w:r>
      <w:r>
        <w:rPr>
          <w:rStyle w:val="OperatorTok"/>
        </w:rPr>
        <w:t xml:space="preserve">{</w:t>
      </w:r>
      <w:r>
        <w:rPr>
          <w:rStyle w:val="NormalTok"/>
        </w:rPr>
        <w:t xml:space="preserve"> </w:t>
      </w:r>
      <w:r>
        <w:rPr>
          <w:rStyle w:val="VariableTok"/>
        </w:rPr>
        <w:t xml:space="preserve">$map</w:t>
      </w:r>
      <w:r>
        <w:rPr>
          <w:rStyle w:val="OperatorTok"/>
        </w:rPr>
        <w:t xml:space="preserve">.</w:t>
      </w:r>
      <w:r>
        <w:rPr>
          <w:rStyle w:val="FunctionTok"/>
        </w:rPr>
        <w:t xml:space="preserve">ContainsKey</w:t>
      </w:r>
      <w:r>
        <w:rPr>
          <w:rStyle w:val="OperatorTok"/>
        </w:rPr>
        <w:t xml:space="preserve">(</w:t>
      </w:r>
      <w:r>
        <w:rPr>
          <w:rStyle w:val="VariableTok"/>
        </w:rPr>
        <w:t xml:space="preserve">$_</w:t>
      </w:r>
      <w:r>
        <w:rPr>
          <w:rStyle w:val="OperatorTok"/>
        </w:rPr>
        <w:t xml:space="preserve">.</w:t>
      </w:r>
      <w:r>
        <w:rPr>
          <w:rStyle w:val="FunctionTok"/>
        </w:rPr>
        <w:t xml:space="preserve">LoginName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FunctionTok"/>
        </w:rPr>
        <w:t xml:space="preserve">ForEach-Object</w:t>
      </w:r>
      <w:r>
        <w:rPr>
          <w:rStyle w:val="NormalTok"/>
        </w:rPr>
        <w:t xml:space="preserve"> </w:t>
      </w:r>
      <w:r>
        <w:rPr>
          <w:rStyle w:val="OperatorTok"/>
        </w:rPr>
        <w:t xml:space="preserve">{</w:t>
      </w:r>
      <w:r>
        <w:rPr>
          <w:rStyle w:val="NormalTok"/>
        </w:rPr>
        <w:t xml:space="preserve"> </w:t>
      </w:r>
      <w:r>
        <w:rPr>
          <w:rStyle w:val="VariableTok"/>
        </w:rPr>
        <w:t xml:space="preserve">$map</w:t>
      </w:r>
      <w:r>
        <w:rPr>
          <w:rStyle w:val="OperatorTok"/>
        </w:rPr>
        <w:t xml:space="preserve">[</w:t>
      </w:r>
      <w:r>
        <w:rPr>
          <w:rStyle w:val="VariableTok"/>
        </w:rPr>
        <w:t xml:space="preserve">$_</w:t>
      </w:r>
      <w:r>
        <w:rPr>
          <w:rStyle w:val="OperatorTok"/>
        </w:rPr>
        <w:t xml:space="preserve">.</w:t>
      </w:r>
      <w:r>
        <w:rPr>
          <w:rStyle w:val="FunctionTok"/>
        </w:rPr>
        <w:t xml:space="preserve">LoginName</w:t>
      </w:r>
      <w:r>
        <w:rPr>
          <w:rStyle w:val="OperatorTok"/>
        </w:rPr>
        <w:t xml:space="preserve">]</w:t>
      </w:r>
      <w:r>
        <w:rPr>
          <w:rStyle w:val="NormalTok"/>
        </w:rPr>
        <w:t xml:space="preserve"> </w:t>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Sort-Object</w:t>
      </w:r>
      <w:r>
        <w:rPr>
          <w:rStyle w:val="NormalTok"/>
        </w:rPr>
        <w:t xml:space="preserve"> </w:t>
      </w:r>
      <w:r>
        <w:rPr>
          <w:rStyle w:val="OperatorTok"/>
        </w:rPr>
        <w:t xml:space="preserve">-</w:t>
      </w:r>
      <w:r>
        <w:rPr>
          <w:rStyle w:val="NormalTok"/>
        </w:rPr>
        <w:t xml:space="preserve">Unique</w:t>
      </w:r>
      <w:r>
        <w:br/>
      </w:r>
      <w:r>
        <w:br/>
      </w:r>
      <w:r>
        <w:rPr>
          <w:rStyle w:val="OperatorTok"/>
        </w:rPr>
        <w:t xml:space="preserve">&amp;</w:t>
      </w:r>
      <w:r>
        <w:rPr>
          <w:rStyle w:val="NormalTok"/>
        </w:rPr>
        <w:t xml:space="preserve"> </w:t>
      </w:r>
      <w:r>
        <w:rPr>
          <w:rStyle w:val="OperatorTok"/>
        </w:rPr>
        <w:t xml:space="preserve">{</w:t>
      </w:r>
      <w:r>
        <w:br/>
      </w:r>
      <w:r>
        <w:rPr>
          <w:rStyle w:val="NormalTok"/>
        </w:rPr>
        <w:t xml:space="preserve">    </w:t>
      </w:r>
      <w:r>
        <w:rPr>
          <w:rStyle w:val="StringTok"/>
        </w:rPr>
        <w:t xml:space="preserve">'USE master;'</w:t>
      </w:r>
      <w:r>
        <w:br/>
      </w:r>
      <w:r>
        <w:rPr>
          <w:rStyle w:val="NormalTok"/>
        </w:rPr>
        <w:t xml:space="preserve">    </w:t>
      </w:r>
      <w:r>
        <w:rPr>
          <w:rStyle w:val="StringTok"/>
        </w:rPr>
        <w:t xml:space="preserve">'GO'</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$u</w:t>
      </w:r>
      <w:r>
        <w:rPr>
          <w:rStyle w:val="NormalTok"/>
        </w:rPr>
        <w:t xml:space="preserve"> </w:t>
      </w:r>
      <w:r>
        <w:rPr>
          <w:rStyle w:val="KeywordTok"/>
        </w:rPr>
        <w:t xml:space="preserve">in</w:t>
      </w:r>
      <w:r>
        <w:rPr>
          <w:rStyle w:val="NormalTok"/>
        </w:rPr>
        <w:t xml:space="preserve"> </w:t>
      </w:r>
      <w:r>
        <w:rPr>
          <w:rStyle w:val="VariableTok"/>
        </w:rPr>
        <w:t xml:space="preserve">$unresolved</w:t>
      </w:r>
      <w:r>
        <w:rPr>
          <w:rStyle w:val="OperatorTok"/>
        </w:rPr>
        <w:t xml:space="preserve">)</w:t>
      </w:r>
      <w:r>
        <w:rPr>
          <w:rStyle w:val="NormalTok"/>
        </w:rPr>
        <w:t xml:space="preserve"> </w:t>
      </w:r>
      <w:r>
        <w:rPr>
          <w:rStyle w:val="OperatorTok"/>
        </w:rPr>
        <w:t xml:space="preserve">{</w:t>
      </w:r>
      <w:r>
        <w:rPr>
          <w:rStyle w:val="NormalTok"/>
        </w:rPr>
        <w:t xml:space="preserve"> </w:t>
      </w:r>
      <w:r>
        <w:rPr>
          <w:rStyle w:val="StringTok"/>
        </w:rPr>
        <w:t xml:space="preserve">"-- UNRESOLVED: </w:t>
      </w:r>
      <w:r>
        <w:rPr>
          <w:rStyle w:val="OperatorTok"/>
        </w:rPr>
        <w:t xml:space="preserve">$(</w:t>
      </w:r>
      <w:r>
        <w:rPr>
          <w:rStyle w:val="VariableTok"/>
        </w:rPr>
        <w:t xml:space="preserve">$u</w:t>
      </w:r>
      <w:r>
        <w:rPr>
          <w:rStyle w:val="OperatorTok"/>
        </w:rPr>
        <w:t xml:space="preserve">.</w:t>
      </w:r>
      <w:r>
        <w:rPr>
          <w:rStyle w:val="FunctionTok"/>
        </w:rPr>
        <w:t xml:space="preserve">LoginName</w:t>
      </w:r>
      <w:r>
        <w:rPr>
          <w:rStyle w:val="OperatorTok"/>
        </w:rPr>
        <w:t xml:space="preserve">)</w:t>
      </w:r>
      <w:r>
        <w:rPr>
          <w:rStyle w:val="StringTok"/>
        </w:rPr>
        <w:t xml:space="preserve"> (map it, or record why it isn't migrated)"</w:t>
      </w:r>
      <w:r>
        <w:rPr>
          <w:rStyle w:val="NormalTok"/>
        </w:rPr>
        <w:t xml:space="preserve"> </w:t>
      </w:r>
      <w:r>
        <w:rPr>
          <w:rStyle w:val="OperatorTok"/>
        </w:rPr>
        <w:t xml:space="preserve">}</w:t>
      </w:r>
      <w:r>
        <w:br/>
      </w:r>
      <w:r>
        <w:rPr>
          <w:rStyle w:val="NormalTok"/>
        </w:rPr>
        <w:t xml:space="preserve">    </w:t>
      </w:r>
      <w:r>
        <w:rPr>
          <w:rStyle w:val="ControlFlowTok"/>
        </w:rPr>
        <w:t xml:space="preserve">foreach</w:t>
      </w:r>
      <w:r>
        <w:rPr>
          <w:rStyle w:val="NormalTok"/>
        </w:rPr>
        <w:t xml:space="preserve"> </w:t>
      </w:r>
      <w:r>
        <w:rPr>
          <w:rStyle w:val="OperatorTok"/>
        </w:rPr>
        <w:t xml:space="preserve">(</w:t>
      </w:r>
      <w:r>
        <w:rPr>
          <w:rStyle w:val="VariableTok"/>
        </w:rPr>
        <w:t xml:space="preserve">$name</w:t>
      </w:r>
      <w:r>
        <w:rPr>
          <w:rStyle w:val="NormalTok"/>
        </w:rPr>
        <w:t xml:space="preserve"> </w:t>
      </w:r>
      <w:r>
        <w:rPr>
          <w:rStyle w:val="KeywordTok"/>
        </w:rPr>
        <w:t xml:space="preserve">in</w:t>
      </w:r>
      <w:r>
        <w:rPr>
          <w:rStyle w:val="NormalTok"/>
        </w:rPr>
        <w:t xml:space="preserve"> </w:t>
      </w:r>
      <w:r>
        <w:rPr>
          <w:rStyle w:val="VariableTok"/>
        </w:rPr>
        <w:t xml:space="preserve">$principals</w:t>
      </w:r>
      <w:r>
        <w:rPr>
          <w:rStyle w:val="OperatorTok"/>
        </w:rPr>
        <w:t xml:space="preserve">)</w:t>
      </w:r>
      <w:r>
        <w:rPr>
          <w:rStyle w:val="NormalTok"/>
        </w:rPr>
        <w:t xml:space="preserve"> </w:t>
      </w:r>
      <w:r>
        <w:rPr>
          <w:rStyle w:val="OperatorTok"/>
        </w:rPr>
        <w:t xml:space="preserve">{</w:t>
      </w:r>
      <w:r>
        <w:br/>
      </w:r>
      <w:r>
        <w:rPr>
          <w:rStyle w:val="NormalTok"/>
        </w:rPr>
        <w:t xml:space="preserve">        </w:t>
      </w:r>
      <w:r>
        <w:rPr>
          <w:rStyle w:val="VariableTok"/>
        </w:rPr>
        <w:t xml:space="preserve">$literal</w:t>
      </w:r>
      <w:r>
        <w:rPr>
          <w:rStyle w:val="NormalTok"/>
        </w:rPr>
        <w:t xml:space="preserve">    </w:t>
      </w:r>
      <w:r>
        <w:rPr>
          <w:rStyle w:val="OperatorTok"/>
        </w:rPr>
        <w:t xml:space="preserve">=</w:t>
      </w:r>
      <w:r>
        <w:rPr>
          <w:rStyle w:val="NormalTok"/>
        </w:rPr>
        <w:t xml:space="preserve"> </w:t>
      </w:r>
      <w:r>
        <w:rPr>
          <w:rStyle w:val="VariableTok"/>
        </w:rPr>
        <w:t xml:space="preserve">$name</w:t>
      </w:r>
      <w:r>
        <w:rPr>
          <w:rStyle w:val="OperatorTok"/>
        </w:rPr>
        <w:t xml:space="preserve">.</w:t>
      </w:r>
      <w:r>
        <w:rPr>
          <w:rStyle w:val="FunctionTok"/>
        </w:rPr>
        <w:t xml:space="preserve">Replace</w:t>
      </w:r>
      <w:r>
        <w:rPr>
          <w:rStyle w:val="OperatorTok"/>
        </w:rPr>
        <w:t xml:space="preserve">(</w:t>
      </w:r>
      <w:r>
        <w:rPr>
          <w:rStyle w:val="StringTok"/>
        </w:rPr>
        <w:t xml:space="preserve">"'"</w:t>
      </w:r>
      <w:r>
        <w:rPr>
          <w:rStyle w:val="OperatorTok"/>
        </w:rPr>
        <w:t xml:space="preserve">,</w:t>
      </w:r>
      <w:r>
        <w:rPr>
          <w:rStyle w:val="NormalTok"/>
        </w:rPr>
        <w:t xml:space="preserve"> </w:t>
      </w:r>
      <w:r>
        <w:rPr>
          <w:rStyle w:val="StringTok"/>
        </w:rPr>
        <w:t xml:space="preserve">"''"</w:t>
      </w:r>
      <w:r>
        <w:rPr>
          <w:rStyle w:val="OperatorTok"/>
        </w:rPr>
        <w:t xml:space="preserve">)</w:t>
      </w:r>
      <w:r>
        <w:rPr>
          <w:rStyle w:val="NormalTok"/>
        </w:rPr>
        <w:t xml:space="preserve">   </w:t>
      </w:r>
      <w:r>
        <w:rPr>
          <w:rStyle w:val="CommentTok"/>
        </w:rPr>
        <w:t xml:space="preserve"># inside N'...'</w:t>
      </w:r>
      <w:r>
        <w:br/>
      </w:r>
      <w:r>
        <w:rPr>
          <w:rStyle w:val="NormalTok"/>
        </w:rPr>
        <w:t xml:space="preserve">        </w:t>
      </w:r>
      <w:r>
        <w:rPr>
          <w:rStyle w:val="VariableTok"/>
        </w:rPr>
        <w:t xml:space="preserve">$identifier</w:t>
      </w:r>
      <w:r>
        <w:rPr>
          <w:rStyle w:val="NormalTok"/>
        </w:rPr>
        <w:t xml:space="preserve"> </w:t>
      </w:r>
      <w:r>
        <w:rPr>
          <w:rStyle w:val="OperatorTok"/>
        </w:rPr>
        <w:t xml:space="preserve">=</w:t>
      </w:r>
      <w:r>
        <w:rPr>
          <w:rStyle w:val="NormalTok"/>
        </w:rPr>
        <w:t xml:space="preserve"> </w:t>
      </w:r>
      <w:r>
        <w:rPr>
          <w:rStyle w:val="VariableTok"/>
        </w:rPr>
        <w:t xml:space="preserve">$name</w:t>
      </w:r>
      <w:r>
        <w:rPr>
          <w:rStyle w:val="OperatorTok"/>
        </w:rPr>
        <w:t xml:space="preserve">.</w:t>
      </w:r>
      <w:r>
        <w:rPr>
          <w:rStyle w:val="FunctionTok"/>
        </w:rPr>
        <w:t xml:space="preserve">Replace</w:t>
      </w:r>
      <w:r>
        <w:rPr>
          <w:rStyle w:val="OperatorTok"/>
        </w:rPr>
        <w:t xml:space="preserve">(</w:t>
      </w:r>
      <w:r>
        <w:rPr>
          <w:rStyle w:val="StringTok"/>
        </w:rPr>
        <w:t xml:space="preserve">']'</w:t>
      </w:r>
      <w:r>
        <w:rPr>
          <w:rStyle w:val="OperatorTok"/>
        </w:rPr>
        <w:t xml:space="preserve">,</w:t>
      </w:r>
      <w:r>
        <w:rPr>
          <w:rStyle w:val="NormalTok"/>
        </w:rPr>
        <w:t xml:space="preserve"> </w:t>
      </w:r>
      <w:r>
        <w:rPr>
          <w:rStyle w:val="StringTok"/>
        </w:rPr>
        <w:t xml:space="preserve">']]'</w:t>
      </w:r>
      <w:r>
        <w:rPr>
          <w:rStyle w:val="OperatorTok"/>
        </w:rPr>
        <w:t xml:space="preserve">)</w:t>
      </w:r>
      <w:r>
        <w:rPr>
          <w:rStyle w:val="NormalTok"/>
        </w:rPr>
        <w:t xml:space="preserve">   </w:t>
      </w:r>
      <w:r>
        <w:rPr>
          <w:rStyle w:val="CommentTok"/>
        </w:rPr>
        <w:t xml:space="preserve"># inside [...]</w:t>
      </w:r>
      <w:r>
        <w:br/>
      </w:r>
      <w:r>
        <w:rPr>
          <w:rStyle w:val="NormalTok"/>
        </w:rPr>
        <w:t xml:space="preserve">        </w:t>
      </w:r>
      <w:r>
        <w:rPr>
          <w:rStyle w:val="StringTok"/>
        </w:rPr>
        <w:t xml:space="preserve">"IF NOT EXISTS (SELECT 1 FROM sys.server_principals WHERE name = N'</w:t>
      </w:r>
      <w:r>
        <w:rPr>
          <w:rStyle w:val="VariableTok"/>
        </w:rPr>
        <w:t xml:space="preserve">$literal</w:t>
      </w:r>
      <w:r>
        <w:rPr>
          <w:rStyle w:val="StringTok"/>
        </w:rPr>
        <w:t xml:space="preserve">')"</w:t>
      </w:r>
      <w:r>
        <w:br/>
      </w:r>
      <w:r>
        <w:rPr>
          <w:rStyle w:val="NormalTok"/>
        </w:rPr>
        <w:t xml:space="preserve">        </w:t>
      </w:r>
      <w:r>
        <w:rPr>
          <w:rStyle w:val="StringTok"/>
        </w:rPr>
        <w:t xml:space="preserve">"    CREATE LOGIN [</w:t>
      </w:r>
      <w:r>
        <w:rPr>
          <w:rStyle w:val="VariableTok"/>
        </w:rPr>
        <w:t xml:space="preserve">$identifier</w:t>
      </w:r>
      <w:r>
        <w:rPr>
          <w:rStyle w:val="StringTok"/>
        </w:rPr>
        <w:t xml:space="preserve">] FROM EXTERNAL PROVIDER;"</w:t>
      </w:r>
      <w:r>
        <w:br/>
      </w:r>
      <w:r>
        <w:rPr>
          <w:rStyle w:val="NormalTok"/>
        </w:rPr>
        <w:t xml:space="preserve">        </w:t>
      </w:r>
      <w:r>
        <w:rPr>
          <w:rStyle w:val="StringTok"/>
        </w:rPr>
        <w:t xml:space="preserve">'GO'</w:t>
      </w:r>
      <w:r>
        <w:br/>
      </w:r>
      <w:r>
        <w:rPr>
          <w:rStyle w:val="NormalTok"/>
        </w:rPr>
        <w:t xml:space="preserve">    </w:t>
      </w:r>
      <w:r>
        <w:rPr>
          <w:rStyle w:val="OperatorTok"/>
        </w:rPr>
        <w:t xml:space="preserve">}</w:t>
      </w:r>
      <w:r>
        <w:br/>
      </w:r>
      <w:r>
        <w:rPr>
          <w:rStyle w:val="OperatorTok"/>
        </w:rPr>
        <w:t xml:space="preserve">}</w:t>
      </w:r>
      <w:r>
        <w:rPr>
          <w:rStyle w:val="NormalTok"/>
        </w:rPr>
        <w:t xml:space="preserve"> </w:t>
      </w:r>
      <w:r>
        <w:rPr>
          <w:rStyle w:val="OperatorTok"/>
        </w:rPr>
        <w:t xml:space="preserve">|</w:t>
      </w:r>
      <w:r>
        <w:rPr>
          <w:rStyle w:val="NormalTok"/>
        </w:rPr>
        <w:t xml:space="preserve"> </w:t>
      </w:r>
      <w:r>
        <w:rPr>
          <w:rStyle w:val="FunctionTok"/>
        </w:rPr>
        <w:t xml:space="preserve">Set-Content</w:t>
      </w:r>
      <w:r>
        <w:rPr>
          <w:rStyle w:val="NormalTok"/>
        </w:rPr>
        <w:t xml:space="preserve"> </w:t>
      </w:r>
      <w:r>
        <w:rPr>
          <w:rStyle w:val="OperatorTok"/>
        </w:rPr>
        <w:t xml:space="preserve">.</w:t>
      </w:r>
      <w:r>
        <w:rPr>
          <w:rStyle w:val="NormalTok"/>
        </w:rPr>
        <w:t xml:space="preserve">\output\create-entra-logins</w:t>
      </w:r>
      <w:r>
        <w:rPr>
          <w:rStyle w:val="OperatorTok"/>
        </w:rPr>
        <w:t xml:space="preserve">.</w:t>
      </w:r>
      <w:r>
        <w:rPr>
          <w:rStyle w:val="FunctionTok"/>
        </w:rPr>
        <w:t xml:space="preserve">sql</w:t>
      </w:r>
    </w:p>
    <w:p>
      <w:pPr>
        <w:pStyle w:val="FirstParagraph"/>
      </w:pPr>
      <w:r>
        <w:t xml:space="preserve">The filter keeps enabled Windows users and groups and leaves out the built-in service and system principals, which aren’t migration targets. Several Windows logins usually map to one Entra group, so the script emits each Entra principal once.</w:t>
      </w:r>
    </w:p>
    <w:p>
      <w:pPr>
        <w:pStyle w:val="BodyText"/>
      </w:pPr>
      <w:r>
        <w:rPr>
          <w:b/>
          <w:bCs/>
        </w:rPr>
        <w:t xml:space="preserve">Program automation.</w:t>
      </w:r>
      <w:r>
        <w:t xml:space="preserve"> </w:t>
      </w:r>
      <w:r>
        <w:t xml:space="preserve">The Windows-login-to-Entra-principal mapping (the</w:t>
      </w:r>
      <w:r>
        <w:t xml:space="preserve"> </w:t>
      </w:r>
      <w:r>
        <w:rPr>
          <w:rStyle w:val="VerbatimChar"/>
        </w:rPr>
        <w:t xml:space="preserve">EntraPrincipal</w:t>
      </w:r>
      <w:r>
        <w:t xml:space="preserve"> </w:t>
      </w:r>
      <w:r>
        <w:t xml:space="preserve">column) is the one piece of real judgment here.</w:t>
      </w:r>
      <w:r>
        <w:t xml:space="preserve"> </w:t>
      </w:r>
      <w:r>
        <w:rPr>
          <w:rStyle w:val="VerbatimChar"/>
        </w:rPr>
        <w:t xml:space="preserve">New-FMPEntraLoginMapping</w:t>
      </w:r>
      <w:r>
        <w:t xml:space="preserve"> </w:t>
      </w:r>
      <w:r>
        <w:t xml:space="preserve">codifies it from the program’s identity reconciliation (the</w:t>
      </w:r>
      <w:r>
        <w:t xml:space="preserve"> </w:t>
      </w:r>
      <w:r>
        <w:rPr>
          <w:rStyle w:val="VerbatimChar"/>
        </w:rPr>
        <w:t xml:space="preserve">IdentityReconciliation</w:t>
      </w:r>
      <w:r>
        <w:t xml:space="preserve"> </w:t>
      </w:r>
      <w:r>
        <w:t xml:space="preserve">envelope from</w:t>
      </w:r>
      <w:r>
        <w:t xml:space="preserve"> </w:t>
      </w:r>
      <w:r>
        <w:rPr>
          <w:rStyle w:val="VerbatimChar"/>
        </w:rPr>
        <w:t xml:space="preserve">FMPIdentityAssessment</w:t>
      </w:r>
      <w:r>
        <w:t xml:space="preserve">) rather than from a hand-built spreadsheet. It joins the R03 login audit to the reconciliation, maps only cleanly</w:t>
      </w:r>
      <w:r>
        <w:t xml:space="preserve"> </w:t>
      </w:r>
      <w:r>
        <w:rPr>
          <w:b/>
          <w:bCs/>
        </w:rPr>
        <w:t xml:space="preserve">matched</w:t>
      </w:r>
      <w:r>
        <w:t xml:space="preserve"> </w:t>
      </w:r>
      <w:r>
        <w:t xml:space="preserve">principals automatically, prefers a supplied Entra</w:t>
      </w:r>
      <w:r>
        <w:t xml:space="preserve"> </w:t>
      </w:r>
      <w:r>
        <w:rPr>
          <w:b/>
          <w:bCs/>
        </w:rPr>
        <w:t xml:space="preserve">group</w:t>
      </w:r>
      <w:r>
        <w:t xml:space="preserve"> </w:t>
      </w:r>
      <w:r>
        <w:t xml:space="preserve">map, and flags every unresolved login for review instead of silently dropping it.</w:t>
      </w:r>
      <w:r>
        <w:t xml:space="preserve"> </w:t>
      </w:r>
      <w:r>
        <w:rPr>
          <w:rStyle w:val="VerbatimChar"/>
        </w:rPr>
        <w:t xml:space="preserve">New-FMPEntraLoginScript</w:t>
      </w:r>
      <w:r>
        <w:t xml:space="preserve"> </w:t>
      </w:r>
      <w:r>
        <w:t xml:space="preserve">then turns that mapping into the idempotent</w:t>
      </w:r>
      <w:r>
        <w:t xml:space="preserve"> </w:t>
      </w:r>
      <w:r>
        <w:rPr>
          <w:rStyle w:val="VerbatimChar"/>
        </w:rPr>
        <w:t xml:space="preserve">CREATE LOGIN ... FROM EXTERNAL PROVIDER</w:t>
      </w:r>
      <w:r>
        <w:t xml:space="preserve"> </w:t>
      </w:r>
      <w:r>
        <w:t xml:space="preserve">file shown above: dry run only, no SQL connection, with unresolved entries written as commented-out to-do lines.</w:t>
      </w:r>
    </w:p>
    <w:bookmarkEnd w:id="29"/>
    <w:bookmarkStart w:id="33" w:name="Xd1f7459d878d200be19412182ed00389256897e"/>
    <w:p>
      <w:pPr>
        <w:pStyle w:val="Heading2"/>
      </w:pPr>
      <w:r>
        <w:t xml:space="preserve">Step 2 — Create the Entra database users beside the Windows users</w:t>
      </w:r>
    </w:p>
    <w:p>
      <w:pPr>
        <w:pStyle w:val="FirstParagraph"/>
      </w:pPr>
      <w:r>
        <w:t xml:space="preserve">A server login grants nothing inside a database until a database user maps to it. Create an Entra user for each new login, in each database it needs, and give it the same role memberships and permissions the Windows user or group has. Leave the Windows user in place: both paths must work during the parallel run.</w:t>
      </w:r>
    </w:p>
    <w:p>
      <w:pPr>
        <w:pStyle w:val="BodyText"/>
      </w:pPr>
      <w:r>
        <w:t xml:space="preserve">Don’t try to convert the existing Windows user with</w:t>
      </w:r>
      <w:r>
        <w:t xml:space="preserve"> </w:t>
      </w:r>
      <w:r>
        <w:rPr>
          <w:rStyle w:val="VerbatimChar"/>
        </w:rPr>
        <w:t xml:space="preserve">ALTER USER ... WITH LOGIN</w:t>
      </w:r>
      <w:r>
        <w:t xml:space="preserve">. On SQL Server that clause remaps SQL and Windows users only, and it can’t change the type of a user; the exception that turns a Windows user into a Microsoft Entra user applies only to Azure SQL Managed Instance.</w:t>
      </w:r>
      <w:r>
        <w:rPr>
          <w:rStyle w:val="FootnoteReference"/>
        </w:rPr>
        <w:footnoteReference w:id="30"/>
      </w:r>
      <w:r>
        <w:t xml:space="preserve"> </w:t>
      </w:r>
      <w:r>
        <w:t xml:space="preserve">Even where a remap is possible, it would cut the Windows path over in one step and remove the parallel run.</w:t>
      </w:r>
    </w:p>
    <w:p>
      <w:pPr>
        <w:pStyle w:val="SourceCode"/>
      </w:pPr>
      <w:r>
        <w:rPr>
          <w:rStyle w:val="KeywordTok"/>
        </w:rPr>
        <w:t xml:space="preserve">USE</w:t>
      </w:r>
      <w:r>
        <w:rPr>
          <w:rStyle w:val="NormalTok"/>
        </w:rPr>
        <w:t xml:space="preserve"> [AppDb];</w:t>
      </w:r>
      <w:r>
        <w:br/>
      </w:r>
      <w:r>
        <w:br/>
      </w:r>
      <w:r>
        <w:rPr>
          <w:rStyle w:val="CommentTok"/>
        </w:rPr>
        <w:t xml:space="preserve">-- 1. Create the Entra user beside the existing Windows user or group.</w:t>
      </w:r>
      <w:r>
        <w:br/>
      </w:r>
      <w:r>
        <w:rPr>
          <w:rStyle w:val="ControlFlowTok"/>
        </w:rPr>
        <w:t xml:space="preserve">IF</w:t>
      </w:r>
      <w:r>
        <w:rPr>
          <w:rStyle w:val="NormalTok"/>
        </w:rPr>
        <w:t xml:space="preserve"> </w:t>
      </w:r>
      <w:r>
        <w:rPr>
          <w:rStyle w:val="KeywordTok"/>
        </w:rPr>
        <w:t xml:space="preserve">NOT</w:t>
      </w:r>
      <w:r>
        <w:rPr>
          <w:rStyle w:val="NormalTok"/>
        </w:rPr>
        <w:t xml:space="preserve"> </w:t>
      </w:r>
      <w:r>
        <w:rPr>
          <w:rStyle w:val="KeywordTok"/>
        </w:rPr>
        <w:t xml:space="preserve">EXISTS</w:t>
      </w:r>
      <w:r>
        <w:rPr>
          <w:rStyle w:val="NormalTok"/>
        </w:rPr>
        <w:t xml:space="preserve"> (</w:t>
      </w:r>
      <w:r>
        <w:rPr>
          <w:rStyle w:val="KeywordTok"/>
        </w:rPr>
        <w:t xml:space="preserve">SELECT</w:t>
      </w:r>
      <w:r>
        <w:rPr>
          <w:rStyle w:val="NormalTok"/>
        </w:rPr>
        <w:t xml:space="preserve"> </w:t>
      </w:r>
      <w:r>
        <w:rPr>
          <w:rStyle w:val="DecValTok"/>
        </w:rPr>
        <w:t xml:space="preserve">1</w:t>
      </w:r>
      <w:r>
        <w:rPr>
          <w:rStyle w:val="NormalTok"/>
        </w:rPr>
        <w:t xml:space="preserve"> </w:t>
      </w:r>
      <w:r>
        <w:rPr>
          <w:rStyle w:val="KeywordTok"/>
        </w:rPr>
        <w:t xml:space="preserve">FROM</w:t>
      </w:r>
      <w:r>
        <w:rPr>
          <w:rStyle w:val="NormalTok"/>
        </w:rPr>
        <w:t xml:space="preserve"> sys.database_principals </w:t>
      </w:r>
      <w:r>
        <w:rPr>
          <w:rStyle w:val="KeywordTok"/>
        </w:rPr>
        <w:t xml:space="preserve">WHERE</w:t>
      </w:r>
      <w:r>
        <w:rPr>
          <w:rStyle w:val="NormalTok"/>
        </w:rPr>
        <w:t xml:space="preserve"> name </w:t>
      </w:r>
      <w:r>
        <w:rPr>
          <w:rStyle w:val="OperatorTok"/>
        </w:rPr>
        <w:t xml:space="preserve">=</w:t>
      </w:r>
      <w:r>
        <w:rPr>
          <w:rStyle w:val="NormalTok"/>
        </w:rPr>
        <w:t xml:space="preserve"> N</w:t>
      </w:r>
      <w:r>
        <w:rPr>
          <w:rStyle w:val="StringTok"/>
        </w:rPr>
        <w:t xml:space="preserve">'sql-app-readers'</w:t>
      </w:r>
      <w:r>
        <w:rPr>
          <w:rStyle w:val="NormalTok"/>
        </w:rPr>
        <w:t xml:space="preserve">)</w:t>
      </w:r>
      <w:r>
        <w:br/>
      </w:r>
      <w:r>
        <w:rPr>
          <w:rStyle w:val="NormalTok"/>
        </w:rPr>
        <w:t xml:space="preserve">    </w:t>
      </w:r>
      <w:r>
        <w:rPr>
          <w:rStyle w:val="KeywordTok"/>
        </w:rPr>
        <w:t xml:space="preserve">CREATE</w:t>
      </w:r>
      <w:r>
        <w:rPr>
          <w:rStyle w:val="NormalTok"/>
        </w:rPr>
        <w:t xml:space="preserve"> </w:t>
      </w:r>
      <w:r>
        <w:rPr>
          <w:rStyle w:val="FunctionTok"/>
        </w:rPr>
        <w:t xml:space="preserve">USER</w:t>
      </w:r>
      <w:r>
        <w:rPr>
          <w:rStyle w:val="NormalTok"/>
        </w:rPr>
        <w:t xml:space="preserve"> [sql</w:t>
      </w:r>
      <w:r>
        <w:rPr>
          <w:rStyle w:val="OperatorTok"/>
        </w:rPr>
        <w:t xml:space="preserve">-</w:t>
      </w:r>
      <w:r>
        <w:rPr>
          <w:rStyle w:val="NormalTok"/>
        </w:rPr>
        <w:t xml:space="preserve">app</w:t>
      </w:r>
      <w:r>
        <w:rPr>
          <w:rStyle w:val="OperatorTok"/>
        </w:rPr>
        <w:t xml:space="preserve">-</w:t>
      </w:r>
      <w:r>
        <w:rPr>
          <w:rStyle w:val="NormalTok"/>
        </w:rPr>
        <w:t xml:space="preserve">readers] </w:t>
      </w:r>
      <w:r>
        <w:rPr>
          <w:rStyle w:val="KeywordTok"/>
        </w:rPr>
        <w:t xml:space="preserve">FROM</w:t>
      </w:r>
      <w:r>
        <w:rPr>
          <w:rStyle w:val="NormalTok"/>
        </w:rPr>
        <w:t xml:space="preserve"> LOGIN [sql</w:t>
      </w:r>
      <w:r>
        <w:rPr>
          <w:rStyle w:val="OperatorTok"/>
        </w:rPr>
        <w:t xml:space="preserve">-</w:t>
      </w:r>
      <w:r>
        <w:rPr>
          <w:rStyle w:val="NormalTok"/>
        </w:rPr>
        <w:t xml:space="preserve">app</w:t>
      </w:r>
      <w:r>
        <w:rPr>
          <w:rStyle w:val="OperatorTok"/>
        </w:rPr>
        <w:t xml:space="preserve">-</w:t>
      </w:r>
      <w:r>
        <w:rPr>
          <w:rStyle w:val="NormalTok"/>
        </w:rPr>
        <w:t xml:space="preserve">readers];</w:t>
      </w:r>
      <w:r>
        <w:br/>
      </w:r>
      <w:r>
        <w:br/>
      </w:r>
      <w:r>
        <w:rPr>
          <w:rStyle w:val="CommentTok"/>
        </w:rPr>
        <w:t xml:space="preserve">-- 2. Read what the Windows principal has: role memberships...</w:t>
      </w:r>
      <w:r>
        <w:br/>
      </w:r>
      <w:r>
        <w:rPr>
          <w:rStyle w:val="KeywordTok"/>
        </w:rPr>
        <w:t xml:space="preserve">SELECT</w:t>
      </w:r>
      <w:r>
        <w:rPr>
          <w:rStyle w:val="NormalTok"/>
        </w:rPr>
        <w:t xml:space="preserve"> r.name </w:t>
      </w:r>
      <w:r>
        <w:rPr>
          <w:rStyle w:val="KeywordTok"/>
        </w:rPr>
        <w:t xml:space="preserve">AS</w:t>
      </w:r>
      <w:r>
        <w:rPr>
          <w:rStyle w:val="NormalTok"/>
        </w:rPr>
        <w:t xml:space="preserve"> role_name</w:t>
      </w:r>
      <w:r>
        <w:br/>
      </w:r>
      <w:r>
        <w:rPr>
          <w:rStyle w:val="KeywordTok"/>
        </w:rPr>
        <w:t xml:space="preserve">FROM</w:t>
      </w:r>
      <w:r>
        <w:rPr>
          <w:rStyle w:val="NormalTok"/>
        </w:rPr>
        <w:t xml:space="preserve">   sys.database_role_members </w:t>
      </w:r>
      <w:r>
        <w:rPr>
          <w:rStyle w:val="KeywordTok"/>
        </w:rPr>
        <w:t xml:space="preserve">AS</w:t>
      </w:r>
      <w:r>
        <w:rPr>
          <w:rStyle w:val="NormalTok"/>
        </w:rPr>
        <w:t xml:space="preserve"> rm</w:t>
      </w:r>
      <w:r>
        <w:br/>
      </w:r>
      <w:r>
        <w:rPr>
          <w:rStyle w:val="KeywordTok"/>
        </w:rPr>
        <w:t xml:space="preserve">JOIN</w:t>
      </w:r>
      <w:r>
        <w:rPr>
          <w:rStyle w:val="NormalTok"/>
        </w:rPr>
        <w:t xml:space="preserve">   sys.database_principals </w:t>
      </w:r>
      <w:r>
        <w:rPr>
          <w:rStyle w:val="KeywordTok"/>
        </w:rPr>
        <w:t xml:space="preserve">AS</w:t>
      </w:r>
      <w:r>
        <w:rPr>
          <w:rStyle w:val="NormalTok"/>
        </w:rPr>
        <w:t xml:space="preserve"> r </w:t>
      </w:r>
      <w:r>
        <w:rPr>
          <w:rStyle w:val="KeywordTok"/>
        </w:rPr>
        <w:t xml:space="preserve">ON</w:t>
      </w:r>
      <w:r>
        <w:rPr>
          <w:rStyle w:val="NormalTok"/>
        </w:rPr>
        <w:t xml:space="preserve"> r.principal_id </w:t>
      </w:r>
      <w:r>
        <w:rPr>
          <w:rStyle w:val="OperatorTok"/>
        </w:rPr>
        <w:t xml:space="preserve">=</w:t>
      </w:r>
      <w:r>
        <w:rPr>
          <w:rStyle w:val="NormalTok"/>
        </w:rPr>
        <w:t xml:space="preserve"> rm.role_principal_id</w:t>
      </w:r>
      <w:r>
        <w:br/>
      </w:r>
      <w:r>
        <w:rPr>
          <w:rStyle w:val="KeywordTok"/>
        </w:rPr>
        <w:t xml:space="preserve">JOIN</w:t>
      </w:r>
      <w:r>
        <w:rPr>
          <w:rStyle w:val="NormalTok"/>
        </w:rPr>
        <w:t xml:space="preserve">   sys.database_principals </w:t>
      </w:r>
      <w:r>
        <w:rPr>
          <w:rStyle w:val="KeywordTok"/>
        </w:rPr>
        <w:t xml:space="preserve">AS</w:t>
      </w:r>
      <w:r>
        <w:rPr>
          <w:rStyle w:val="NormalTok"/>
        </w:rPr>
        <w:t xml:space="preserve"> m </w:t>
      </w:r>
      <w:r>
        <w:rPr>
          <w:rStyle w:val="KeywordTok"/>
        </w:rPr>
        <w:t xml:space="preserve">ON</w:t>
      </w:r>
      <w:r>
        <w:rPr>
          <w:rStyle w:val="NormalTok"/>
        </w:rPr>
        <w:t xml:space="preserve"> m.principal_id </w:t>
      </w:r>
      <w:r>
        <w:rPr>
          <w:rStyle w:val="OperatorTok"/>
        </w:rPr>
        <w:t xml:space="preserve">=</w:t>
      </w:r>
      <w:r>
        <w:rPr>
          <w:rStyle w:val="NormalTok"/>
        </w:rPr>
        <w:t xml:space="preserve"> rm.member_principal_id</w:t>
      </w:r>
      <w:r>
        <w:br/>
      </w:r>
      <w:r>
        <w:rPr>
          <w:rStyle w:val="KeywordTok"/>
        </w:rPr>
        <w:t xml:space="preserve">WHERE</w:t>
      </w:r>
      <w:r>
        <w:rPr>
          <w:rStyle w:val="NormalTok"/>
        </w:rPr>
        <w:t xml:space="preserve">  m.name </w:t>
      </w:r>
      <w:r>
        <w:rPr>
          <w:rStyle w:val="OperatorTok"/>
        </w:rPr>
        <w:t xml:space="preserve">=</w:t>
      </w:r>
      <w:r>
        <w:rPr>
          <w:rStyle w:val="NormalTok"/>
        </w:rPr>
        <w:t xml:space="preserve"> N</w:t>
      </w:r>
      <w:r>
        <w:rPr>
          <w:rStyle w:val="StringTok"/>
        </w:rPr>
        <w:t xml:space="preserve">'CONTOSO\AppReaders'</w:t>
      </w:r>
      <w:r>
        <w:rPr>
          <w:rStyle w:val="NormalTok"/>
        </w:rPr>
        <w:t xml:space="preserve">;</w:t>
      </w:r>
      <w:r>
        <w:br/>
      </w:r>
      <w:r>
        <w:br/>
      </w:r>
      <w:r>
        <w:rPr>
          <w:rStyle w:val="CommentTok"/>
        </w:rPr>
        <w:t xml:space="preserve">-- ...and explicit permissions.</w:t>
      </w:r>
      <w:r>
        <w:br/>
      </w:r>
      <w:r>
        <w:rPr>
          <w:rStyle w:val="KeywordTok"/>
        </w:rPr>
        <w:t xml:space="preserve">SELECT</w:t>
      </w:r>
      <w:r>
        <w:rPr>
          <w:rStyle w:val="NormalTok"/>
        </w:rPr>
        <w:t xml:space="preserve"> class_desc, permission_name, state_desc,</w:t>
      </w:r>
      <w:r>
        <w:br/>
      </w:r>
      <w:r>
        <w:rPr>
          <w:rStyle w:val="NormalTok"/>
        </w:rPr>
        <w:t xml:space="preserve">       </w:t>
      </w:r>
      <w:r>
        <w:rPr>
          <w:rStyle w:val="ControlFlowTok"/>
        </w:rPr>
        <w:t xml:space="preserve">CASE</w:t>
      </w:r>
      <w:r>
        <w:rPr>
          <w:rStyle w:val="NormalTok"/>
        </w:rPr>
        <w:t xml:space="preserve"> </w:t>
      </w:r>
      <w:r>
        <w:rPr>
          <w:rStyle w:val="ControlFlowTok"/>
        </w:rPr>
        <w:t xml:space="preserve">WHEN</w:t>
      </w:r>
      <w:r>
        <w:rPr>
          <w:rStyle w:val="NormalTok"/>
        </w:rPr>
        <w:t xml:space="preserve"> </w:t>
      </w:r>
      <w:r>
        <w:rPr>
          <w:rStyle w:val="KeywordTok"/>
        </w:rPr>
        <w:t xml:space="preserve">class</w:t>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w:t>
      </w:r>
      <w:r>
        <w:rPr>
          <w:rStyle w:val="ControlFlowTok"/>
        </w:rPr>
        <w:t xml:space="preserve">THEN</w:t>
      </w:r>
      <w:r>
        <w:rPr>
          <w:rStyle w:val="NormalTok"/>
        </w:rPr>
        <w:t xml:space="preserve"> OBJECT_NAME(major_id) </w:t>
      </w:r>
      <w:r>
        <w:rPr>
          <w:rStyle w:val="ControlFlowTok"/>
        </w:rPr>
        <w:t xml:space="preserve">END</w:t>
      </w:r>
      <w:r>
        <w:rPr>
          <w:rStyle w:val="NormalTok"/>
        </w:rPr>
        <w:t xml:space="preserve"> </w:t>
      </w:r>
      <w:r>
        <w:rPr>
          <w:rStyle w:val="KeywordTok"/>
        </w:rPr>
        <w:t xml:space="preserve">AS</w:t>
      </w:r>
      <w:r>
        <w:rPr>
          <w:rStyle w:val="NormalTok"/>
        </w:rPr>
        <w:t xml:space="preserve"> object_name</w:t>
      </w:r>
      <w:r>
        <w:br/>
      </w:r>
      <w:r>
        <w:rPr>
          <w:rStyle w:val="KeywordTok"/>
        </w:rPr>
        <w:t xml:space="preserve">FROM</w:t>
      </w:r>
      <w:r>
        <w:rPr>
          <w:rStyle w:val="NormalTok"/>
        </w:rPr>
        <w:t xml:space="preserve">   sys.database_permissions</w:t>
      </w:r>
      <w:r>
        <w:br/>
      </w:r>
      <w:r>
        <w:rPr>
          <w:rStyle w:val="KeywordTok"/>
        </w:rPr>
        <w:t xml:space="preserve">WHERE</w:t>
      </w:r>
      <w:r>
        <w:rPr>
          <w:rStyle w:val="NormalTok"/>
        </w:rPr>
        <w:t xml:space="preserve">  grantee_principal_id </w:t>
      </w:r>
      <w:r>
        <w:rPr>
          <w:rStyle w:val="OperatorTok"/>
        </w:rPr>
        <w:t xml:space="preserve">=</w:t>
      </w:r>
      <w:r>
        <w:rPr>
          <w:rStyle w:val="NormalTok"/>
        </w:rPr>
        <w:t xml:space="preserve"> DATABASE_PRINCIPAL_ID(N</w:t>
      </w:r>
      <w:r>
        <w:rPr>
          <w:rStyle w:val="StringTok"/>
        </w:rPr>
        <w:t xml:space="preserve">'CONTOSO\AppReaders'</w:t>
      </w:r>
      <w:r>
        <w:rPr>
          <w:rStyle w:val="NormalTok"/>
        </w:rPr>
        <w:t xml:space="preserve">);</w:t>
      </w:r>
      <w:r>
        <w:br/>
      </w:r>
      <w:r>
        <w:br/>
      </w:r>
      <w:r>
        <w:rPr>
          <w:rStyle w:val="CommentTok"/>
        </w:rPr>
        <w:t xml:space="preserve">-- 3. Mirror them on the Entra user (one statement per role or permission found).</w:t>
      </w:r>
      <w:r>
        <w:br/>
      </w:r>
      <w:r>
        <w:rPr>
          <w:rStyle w:val="KeywordTok"/>
        </w:rPr>
        <w:t xml:space="preserve">ALTER</w:t>
      </w:r>
      <w:r>
        <w:rPr>
          <w:rStyle w:val="NormalTok"/>
        </w:rPr>
        <w:t xml:space="preserve"> </w:t>
      </w:r>
      <w:r>
        <w:rPr>
          <w:rStyle w:val="KeywordTok"/>
        </w:rPr>
        <w:t xml:space="preserve">ROLE</w:t>
      </w:r>
      <w:r>
        <w:rPr>
          <w:rStyle w:val="NormalTok"/>
        </w:rPr>
        <w:t xml:space="preserve"> [db_datareader] </w:t>
      </w:r>
      <w:r>
        <w:rPr>
          <w:rStyle w:val="KeywordTok"/>
        </w:rPr>
        <w:t xml:space="preserve">ADD</w:t>
      </w:r>
      <w:r>
        <w:rPr>
          <w:rStyle w:val="NormalTok"/>
        </w:rPr>
        <w:t xml:space="preserve"> </w:t>
      </w:r>
      <w:r>
        <w:rPr>
          <w:rStyle w:val="KeywordTok"/>
        </w:rPr>
        <w:t xml:space="preserve">MEMBER</w:t>
      </w:r>
      <w:r>
        <w:rPr>
          <w:rStyle w:val="NormalTok"/>
        </w:rPr>
        <w:t xml:space="preserve"> [sql</w:t>
      </w:r>
      <w:r>
        <w:rPr>
          <w:rStyle w:val="OperatorTok"/>
        </w:rPr>
        <w:t xml:space="preserve">-</w:t>
      </w:r>
      <w:r>
        <w:rPr>
          <w:rStyle w:val="NormalTok"/>
        </w:rPr>
        <w:t xml:space="preserve">app</w:t>
      </w:r>
      <w:r>
        <w:rPr>
          <w:rStyle w:val="OperatorTok"/>
        </w:rPr>
        <w:t xml:space="preserve">-</w:t>
      </w:r>
      <w:r>
        <w:rPr>
          <w:rStyle w:val="NormalTok"/>
        </w:rPr>
        <w:t xml:space="preserve">readers];</w:t>
      </w:r>
    </w:p>
    <w:p>
      <w:pPr>
        <w:pStyle w:val="FirstParagraph"/>
      </w:pPr>
      <w:r>
        <w:rPr>
          <w:rStyle w:val="VerbatimChar"/>
        </w:rPr>
        <w:t xml:space="preserve">CREATE USER [name] FROM LOGIN [name]</w:t>
      </w:r>
      <w:r>
        <w:t xml:space="preserve"> </w:t>
      </w:r>
      <w:r>
        <w:t xml:space="preserve">is the documented form for an Entra user mapped to an Entra login on SQL Server.</w:t>
      </w:r>
      <w:r>
        <w:rPr>
          <w:rStyle w:val="FootnoteReference"/>
        </w:rPr>
        <w:footnoteReference w:id="32"/>
      </w:r>
      <w:r>
        <w:t xml:space="preserve"> </w:t>
      </w:r>
      <w:r>
        <w:t xml:space="preserve">Mirror default schemas and object ownership as well where the Windows principal holds them, and generate the mirroring statements per database in the same dry-run file as Step 1, so the review covers both.</w:t>
      </w:r>
    </w:p>
    <w:bookmarkEnd w:id="33"/>
    <w:bookmarkStart w:id="44" w:name="step-3-the-parallel-run"/>
    <w:p>
      <w:pPr>
        <w:pStyle w:val="Heading2"/>
      </w:pPr>
      <w:r>
        <w:t xml:space="preserve">Step 3 — The parallel run</w:t>
      </w:r>
    </w:p>
    <w:p>
      <w:pPr>
        <w:pStyle w:val="FirstParagraph"/>
      </w:pPr>
      <w:r>
        <w:rPr>
          <w:b/>
          <w:bCs/>
        </w:rPr>
        <w:t xml:space="preserve">Keep the Windows logins enabled</w:t>
      </w:r>
      <w:r>
        <w:t xml:space="preserve"> </w:t>
      </w:r>
      <w:r>
        <w:t xml:space="preserve">alongside the new Entra logins. Both work; nothing is removed. This is the parallel-run window the program’s decision requires, and it’s what makes the cutover reversible.</w:t>
      </w:r>
    </w:p>
    <w:p>
      <w:pPr>
        <w:pStyle w:val="BodyText"/>
      </w:pPr>
      <w:r>
        <w:t xml:space="preserve">Observe which authentication scheme connections actually use, over a</w:t>
      </w:r>
      <w:r>
        <w:t xml:space="preserve"> </w:t>
      </w:r>
      <w:r>
        <w:rPr>
          <w:b/>
          <w:bCs/>
        </w:rPr>
        <w:t xml:space="preserve">30-day</w:t>
      </w:r>
      <w:r>
        <w:t xml:space="preserve"> </w:t>
      </w:r>
      <w:r>
        <w:t xml:space="preserve">window. Querying these views needs</w:t>
      </w:r>
      <w:r>
        <w:t xml:space="preserve"> </w:t>
      </w:r>
      <w:r>
        <w:rPr>
          <w:rStyle w:val="VerbatimChar"/>
        </w:rPr>
        <w:t xml:space="preserve">VIEW SERVER STATE</w:t>
      </w:r>
      <w:r>
        <w:t xml:space="preserve">, or</w:t>
      </w:r>
      <w:r>
        <w:t xml:space="preserve"> </w:t>
      </w:r>
      <w:r>
        <w:rPr>
          <w:rStyle w:val="VerbatimChar"/>
        </w:rPr>
        <w:t xml:space="preserve">VIEW SERVER PERFORMANCE STATE</w:t>
      </w:r>
      <w:r>
        <w:t xml:space="preserve"> </w:t>
      </w:r>
      <w:r>
        <w:t xml:space="preserve">on SQL Server 2022 and later.</w:t>
      </w:r>
      <w:r>
        <w:rPr>
          <w:rStyle w:val="FootnoteReference"/>
        </w:rPr>
        <w:footnoteReference w:id="34"/>
      </w:r>
    </w:p>
    <w:p>
      <w:pPr>
        <w:pStyle w:val="SourceCode"/>
      </w:pPr>
      <w:r>
        <w:rPr>
          <w:rStyle w:val="CommentTok"/>
        </w:rPr>
        <w:t xml:space="preserve">-- Live: how are sessions authenticating right now?</w:t>
      </w:r>
      <w:r>
        <w:br/>
      </w:r>
      <w:r>
        <w:rPr>
          <w:rStyle w:val="KeywordTok"/>
        </w:rPr>
        <w:t xml:space="preserve">SELECT</w:t>
      </w:r>
      <w:r>
        <w:rPr>
          <w:rStyle w:val="NormalTok"/>
        </w:rPr>
        <w:t xml:space="preserve">  s.original_login_name,</w:t>
      </w:r>
      <w:r>
        <w:br/>
      </w:r>
      <w:r>
        <w:rPr>
          <w:rStyle w:val="NormalTok"/>
        </w:rPr>
        <w:t xml:space="preserve">        c.auth_scheme,</w:t>
      </w:r>
      <w:r>
        <w:br/>
      </w:r>
      <w:r>
        <w:rPr>
          <w:rStyle w:val="NormalTok"/>
        </w:rPr>
        <w:t xml:space="preserve">        c.client_net_address,</w:t>
      </w:r>
      <w:r>
        <w:br/>
      </w:r>
      <w:r>
        <w:rPr>
          <w:rStyle w:val="NormalTok"/>
        </w:rPr>
        <w:t xml:space="preserve">        </w:t>
      </w:r>
      <w:r>
        <w:rPr>
          <w:rStyle w:val="FunctionTok"/>
        </w:rPr>
        <w:t xml:space="preserve">COUNT</w:t>
      </w:r>
      <w:r>
        <w:rPr>
          <w:rStyle w:val="NormalTok"/>
        </w:rPr>
        <w:t xml:space="preserve">(</w:t>
      </w:r>
      <w:r>
        <w:rPr>
          <w:rStyle w:val="OperatorTok"/>
        </w:rPr>
        <w:t xml:space="preserve">*</w:t>
      </w:r>
      <w:r>
        <w:rPr>
          <w:rStyle w:val="NormalTok"/>
        </w:rPr>
        <w:t xml:space="preserve">) </w:t>
      </w:r>
      <w:r>
        <w:rPr>
          <w:rStyle w:val="KeywordTok"/>
        </w:rPr>
        <w:t xml:space="preserve">AS</w:t>
      </w:r>
      <w:r>
        <w:rPr>
          <w:rStyle w:val="NormalTok"/>
        </w:rPr>
        <w:t xml:space="preserve"> sessions</w:t>
      </w:r>
      <w:r>
        <w:br/>
      </w:r>
      <w:r>
        <w:rPr>
          <w:rStyle w:val="KeywordTok"/>
        </w:rPr>
        <w:t xml:space="preserve">FROM</w:t>
      </w:r>
      <w:r>
        <w:rPr>
          <w:rStyle w:val="NormalTok"/>
        </w:rPr>
        <w:t xml:space="preserve">    sys.dm_exec_connections </w:t>
      </w:r>
      <w:r>
        <w:rPr>
          <w:rStyle w:val="KeywordTok"/>
        </w:rPr>
        <w:t xml:space="preserve">AS</w:t>
      </w:r>
      <w:r>
        <w:rPr>
          <w:rStyle w:val="NormalTok"/>
        </w:rPr>
        <w:t xml:space="preserve"> c</w:t>
      </w:r>
      <w:r>
        <w:br/>
      </w:r>
      <w:r>
        <w:rPr>
          <w:rStyle w:val="KeywordTok"/>
        </w:rPr>
        <w:t xml:space="preserve">JOIN</w:t>
      </w:r>
      <w:r>
        <w:rPr>
          <w:rStyle w:val="NormalTok"/>
        </w:rPr>
        <w:t xml:space="preserve">    sys.dm_exec_sessions    </w:t>
      </w:r>
      <w:r>
        <w:rPr>
          <w:rStyle w:val="KeywordTok"/>
        </w:rPr>
        <w:t xml:space="preserve">AS</w:t>
      </w:r>
      <w:r>
        <w:rPr>
          <w:rStyle w:val="NormalTok"/>
        </w:rPr>
        <w:t xml:space="preserve"> s </w:t>
      </w:r>
      <w:r>
        <w:rPr>
          <w:rStyle w:val="KeywordTok"/>
        </w:rPr>
        <w:t xml:space="preserve">ON</w:t>
      </w:r>
      <w:r>
        <w:rPr>
          <w:rStyle w:val="NormalTok"/>
        </w:rPr>
        <w:t xml:space="preserve"> s.session_id </w:t>
      </w:r>
      <w:r>
        <w:rPr>
          <w:rStyle w:val="OperatorTok"/>
        </w:rPr>
        <w:t xml:space="preserve">=</w:t>
      </w:r>
      <w:r>
        <w:rPr>
          <w:rStyle w:val="NormalTok"/>
        </w:rPr>
        <w:t xml:space="preserve"> c.session_id</w:t>
      </w:r>
      <w:r>
        <w:br/>
      </w:r>
      <w:r>
        <w:rPr>
          <w:rStyle w:val="KeywordTok"/>
        </w:rPr>
        <w:t xml:space="preserve">GROUP</w:t>
      </w:r>
      <w:r>
        <w:rPr>
          <w:rStyle w:val="NormalTok"/>
        </w:rPr>
        <w:t xml:space="preserve"> </w:t>
      </w:r>
      <w:r>
        <w:rPr>
          <w:rStyle w:val="KeywordTok"/>
        </w:rPr>
        <w:t xml:space="preserve">BY</w:t>
      </w:r>
      <w:r>
        <w:rPr>
          <w:rStyle w:val="NormalTok"/>
        </w:rPr>
        <w:t xml:space="preserve"> s.original_login_name, c.auth_scheme, c.client_net_address</w:t>
      </w:r>
      <w:r>
        <w:br/>
      </w:r>
      <w:r>
        <w:rPr>
          <w:rStyle w:val="KeywordTok"/>
        </w:rPr>
        <w:t xml:space="preserve">ORDER</w:t>
      </w:r>
      <w:r>
        <w:rPr>
          <w:rStyle w:val="NormalTok"/>
        </w:rPr>
        <w:t xml:space="preserve"> </w:t>
      </w:r>
      <w:r>
        <w:rPr>
          <w:rStyle w:val="KeywordTok"/>
        </w:rPr>
        <w:t xml:space="preserve">BY</w:t>
      </w:r>
      <w:r>
        <w:rPr>
          <w:rStyle w:val="NormalTok"/>
        </w:rPr>
        <w:t xml:space="preserve"> sessions </w:t>
      </w:r>
      <w:r>
        <w:rPr>
          <w:rStyle w:val="KeywordTok"/>
        </w:rPr>
        <w:t xml:space="preserve">DESC</w:t>
      </w:r>
      <w:r>
        <w:rPr>
          <w:rStyle w:val="NormalTok"/>
        </w:rPr>
        <w:t xml:space="preserve">;</w:t>
      </w:r>
    </w:p>
    <w:p>
      <w:pPr>
        <w:pStyle w:val="FirstParagraph"/>
      </w:pPr>
      <w:r>
        <w:t xml:space="preserve">Read the</w:t>
      </w:r>
      <w:r>
        <w:t xml:space="preserve"> </w:t>
      </w:r>
      <w:r>
        <w:rPr>
          <w:rStyle w:val="VerbatimChar"/>
        </w:rPr>
        <w:t xml:space="preserve">auth_scheme</w:t>
      </w:r>
      <w:r>
        <w:t xml:space="preserve"> </w:t>
      </w:r>
      <w:r>
        <w:t xml:space="preserve">column with two cautions. Connections made on the server itself always report</w:t>
      </w:r>
      <w:r>
        <w:t xml:space="preserve"> </w:t>
      </w:r>
      <w:r>
        <w:rPr>
          <w:rStyle w:val="VerbatimChar"/>
        </w:rPr>
        <w:t xml:space="preserve">NTLM</w:t>
      </w:r>
      <w:r>
        <w:t xml:space="preserve">, even when Kerberos is configured correctly, so judge Kerberos and NTLM only on connections from other hosts.</w:t>
      </w:r>
      <w:r>
        <w:rPr>
          <w:rStyle w:val="FootnoteReference"/>
        </w:rPr>
        <w:footnoteReference w:id="36"/>
      </w:r>
      <w:r>
        <w:t xml:space="preserve"> </w:t>
      </w:r>
      <w:r>
        <w:t xml:space="preserve">And Microsoft documents the column only as the SQL Server or Windows authentication scheme of the connection,</w:t>
      </w:r>
      <w:r>
        <w:rPr>
          <w:rStyle w:val="FootnoteReference"/>
        </w:rPr>
        <w:footnoteReference w:id="38"/>
      </w:r>
      <w:r>
        <w:t xml:space="preserve"> </w:t>
      </w:r>
      <w:r>
        <w:t xml:space="preserve">without listing the value an Entra-authenticated connection reports. Confirm on the pilot instance what your Entra test connections show before you encode it in the exit criteria.</w:t>
      </w:r>
    </w:p>
    <w:p>
      <w:pPr>
        <w:pStyle w:val="BodyText"/>
      </w:pPr>
      <w:r>
        <w:t xml:space="preserve">A point-in-time query misses connections that come and go between samples. Capture successful logins for the whole window with SQL Server Audit, so you have a durable 30-day record. The</w:t>
      </w:r>
      <w:r>
        <w:t xml:space="preserve"> </w:t>
      </w:r>
      <w:r>
        <w:rPr>
          <w:rStyle w:val="VerbatimChar"/>
        </w:rPr>
        <w:t xml:space="preserve">SUCCESSFUL_LOGIN_GROUP</w:t>
      </w:r>
      <w:r>
        <w:t xml:space="preserve"> </w:t>
      </w:r>
      <w:r>
        <w:t xml:space="preserve">action group records every successful login, including connections reused from a pool.</w:t>
      </w:r>
      <w:r>
        <w:rPr>
          <w:rStyle w:val="FootnoteReference"/>
        </w:rPr>
        <w:footnoteReference w:id="39"/>
      </w:r>
    </w:p>
    <w:p>
      <w:pPr>
        <w:pStyle w:val="SourceCode"/>
      </w:pPr>
      <w:r>
        <w:rPr>
          <w:rStyle w:val="KeywordTok"/>
        </w:rPr>
        <w:t xml:space="preserve">USE</w:t>
      </w:r>
      <w:r>
        <w:rPr>
          <w:rStyle w:val="NormalTok"/>
        </w:rPr>
        <w:t xml:space="preserve"> </w:t>
      </w:r>
      <w:r>
        <w:rPr>
          <w:rStyle w:val="KeywordTok"/>
        </w:rPr>
        <w:t xml:space="preserve">master</w:t>
      </w:r>
      <w:r>
        <w:rPr>
          <w:rStyle w:val="NormalTok"/>
        </w:rPr>
        <w:t xml:space="preserve">;</w:t>
      </w:r>
      <w:r>
        <w:br/>
      </w:r>
      <w:r>
        <w:br/>
      </w:r>
      <w:r>
        <w:rPr>
          <w:rStyle w:val="KeywordTok"/>
        </w:rPr>
        <w:t xml:space="preserve">CREATE</w:t>
      </w:r>
      <w:r>
        <w:rPr>
          <w:rStyle w:val="NormalTok"/>
        </w:rPr>
        <w:t xml:space="preserve"> SERVER </w:t>
      </w:r>
      <w:r>
        <w:rPr>
          <w:rStyle w:val="KeywordTok"/>
        </w:rPr>
        <w:t xml:space="preserve">AUDIT</w:t>
      </w:r>
      <w:r>
        <w:rPr>
          <w:rStyle w:val="NormalTok"/>
        </w:rPr>
        <w:t xml:space="preserve"> [FMP_LoginParallelRun]</w:t>
      </w:r>
      <w:r>
        <w:br/>
      </w:r>
      <w:r>
        <w:rPr>
          <w:rStyle w:val="NormalTok"/>
        </w:rPr>
        <w:t xml:space="preserve">    </w:t>
      </w:r>
      <w:r>
        <w:rPr>
          <w:rStyle w:val="KeywordTok"/>
        </w:rPr>
        <w:t xml:space="preserve">TO</w:t>
      </w:r>
      <w:r>
        <w:rPr>
          <w:rStyle w:val="NormalTok"/>
        </w:rPr>
        <w:t xml:space="preserve"> </w:t>
      </w:r>
      <w:r>
        <w:rPr>
          <w:rStyle w:val="KeywordTok"/>
        </w:rPr>
        <w:t xml:space="preserve">FILE</w:t>
      </w:r>
      <w:r>
        <w:rPr>
          <w:rStyle w:val="NormalTok"/>
        </w:rPr>
        <w:t xml:space="preserve"> (FILEPATH </w:t>
      </w:r>
      <w:r>
        <w:rPr>
          <w:rStyle w:val="OperatorTok"/>
        </w:rPr>
        <w:t xml:space="preserve">=</w:t>
      </w:r>
      <w:r>
        <w:rPr>
          <w:rStyle w:val="NormalTok"/>
        </w:rPr>
        <w:t xml:space="preserve"> N</w:t>
      </w:r>
      <w:r>
        <w:rPr>
          <w:rStyle w:val="StringTok"/>
        </w:rPr>
        <w:t xml:space="preserve">'D:\SQLAudit\'</w:t>
      </w:r>
      <w:r>
        <w:rPr>
          <w:rStyle w:val="NormalTok"/>
        </w:rPr>
        <w:t xml:space="preserve">, </w:t>
      </w:r>
      <w:r>
        <w:rPr>
          <w:rStyle w:val="KeywordTok"/>
        </w:rPr>
        <w:t xml:space="preserve">MAXSIZE</w:t>
      </w:r>
      <w:r>
        <w:rPr>
          <w:rStyle w:val="NormalTok"/>
        </w:rPr>
        <w:t xml:space="preserve"> </w:t>
      </w:r>
      <w:r>
        <w:rPr>
          <w:rStyle w:val="OperatorTok"/>
        </w:rPr>
        <w:t xml:space="preserve">=</w:t>
      </w:r>
      <w:r>
        <w:rPr>
          <w:rStyle w:val="NormalTok"/>
        </w:rPr>
        <w:t xml:space="preserve"> </w:t>
      </w:r>
      <w:r>
        <w:rPr>
          <w:rStyle w:val="DecValTok"/>
        </w:rPr>
        <w:t xml:space="preserve">256</w:t>
      </w:r>
      <w:r>
        <w:rPr>
          <w:rStyle w:val="NormalTok"/>
        </w:rPr>
        <w:t xml:space="preserve"> MB, MAX_ROLLOVER_FILES </w:t>
      </w:r>
      <w:r>
        <w:rPr>
          <w:rStyle w:val="OperatorTok"/>
        </w:rPr>
        <w:t xml:space="preserve">=</w:t>
      </w:r>
      <w:r>
        <w:rPr>
          <w:rStyle w:val="NormalTok"/>
        </w:rPr>
        <w:t xml:space="preserve"> </w:t>
      </w:r>
      <w:r>
        <w:rPr>
          <w:rStyle w:val="DecValTok"/>
        </w:rPr>
        <w:t xml:space="preserve">200</w:t>
      </w:r>
      <w:r>
        <w:rPr>
          <w:rStyle w:val="NormalTok"/>
        </w:rPr>
        <w:t xml:space="preserve">);</w:t>
      </w:r>
      <w:r>
        <w:br/>
      </w:r>
      <w:r>
        <w:br/>
      </w:r>
      <w:r>
        <w:rPr>
          <w:rStyle w:val="KeywordTok"/>
        </w:rPr>
        <w:t xml:space="preserve">CREATE</w:t>
      </w:r>
      <w:r>
        <w:rPr>
          <w:rStyle w:val="NormalTok"/>
        </w:rPr>
        <w:t xml:space="preserve"> SERVER </w:t>
      </w:r>
      <w:r>
        <w:rPr>
          <w:rStyle w:val="KeywordTok"/>
        </w:rPr>
        <w:t xml:space="preserve">AUDIT</w:t>
      </w:r>
      <w:r>
        <w:rPr>
          <w:rStyle w:val="NormalTok"/>
        </w:rPr>
        <w:t xml:space="preserve"> </w:t>
      </w:r>
      <w:r>
        <w:rPr>
          <w:rStyle w:val="KeywordTok"/>
        </w:rPr>
        <w:t xml:space="preserve">SPECIFICATION</w:t>
      </w:r>
      <w:r>
        <w:rPr>
          <w:rStyle w:val="NormalTok"/>
        </w:rPr>
        <w:t xml:space="preserve"> [FMP_LoginParallelRun_Spec]</w:t>
      </w:r>
      <w:r>
        <w:br/>
      </w:r>
      <w:r>
        <w:rPr>
          <w:rStyle w:val="NormalTok"/>
        </w:rPr>
        <w:t xml:space="preserve">    </w:t>
      </w:r>
      <w:r>
        <w:rPr>
          <w:rStyle w:val="ControlFlowTok"/>
        </w:rPr>
        <w:t xml:space="preserve">FOR</w:t>
      </w:r>
      <w:r>
        <w:rPr>
          <w:rStyle w:val="NormalTok"/>
        </w:rPr>
        <w:t xml:space="preserve"> SERVER </w:t>
      </w:r>
      <w:r>
        <w:rPr>
          <w:rStyle w:val="KeywordTok"/>
        </w:rPr>
        <w:t xml:space="preserve">AUDIT</w:t>
      </w:r>
      <w:r>
        <w:rPr>
          <w:rStyle w:val="NormalTok"/>
        </w:rPr>
        <w:t xml:space="preserve"> [FMP_LoginParallelRun]</w:t>
      </w:r>
      <w:r>
        <w:br/>
      </w:r>
      <w:r>
        <w:rPr>
          <w:rStyle w:val="NormalTok"/>
        </w:rPr>
        <w:t xml:space="preserve">    </w:t>
      </w:r>
      <w:r>
        <w:rPr>
          <w:rStyle w:val="KeywordTok"/>
        </w:rPr>
        <w:t xml:space="preserve">ADD</w:t>
      </w:r>
      <w:r>
        <w:rPr>
          <w:rStyle w:val="NormalTok"/>
        </w:rPr>
        <w:t xml:space="preserve"> (SUCCESSFUL_LOGIN_GROUP)</w:t>
      </w:r>
      <w:r>
        <w:br/>
      </w:r>
      <w:r>
        <w:rPr>
          <w:rStyle w:val="NormalTok"/>
        </w:rPr>
        <w:t xml:space="preserve">    </w:t>
      </w:r>
      <w:r>
        <w:rPr>
          <w:rStyle w:val="KeywordTok"/>
        </w:rPr>
        <w:t xml:space="preserve">WITH</w:t>
      </w:r>
      <w:r>
        <w:rPr>
          <w:rStyle w:val="NormalTok"/>
        </w:rPr>
        <w:t xml:space="preserve"> (STATE </w:t>
      </w:r>
      <w:r>
        <w:rPr>
          <w:rStyle w:val="OperatorTok"/>
        </w:rPr>
        <w:t xml:space="preserve">=</w:t>
      </w:r>
      <w:r>
        <w:rPr>
          <w:rStyle w:val="NormalTok"/>
        </w:rPr>
        <w:t xml:space="preserve"> </w:t>
      </w:r>
      <w:r>
        <w:rPr>
          <w:rStyle w:val="KeywordTok"/>
        </w:rPr>
        <w:t xml:space="preserve">ON</w:t>
      </w:r>
      <w:r>
        <w:rPr>
          <w:rStyle w:val="NormalTok"/>
        </w:rPr>
        <w:t xml:space="preserve">);</w:t>
      </w:r>
      <w:r>
        <w:br/>
      </w:r>
      <w:r>
        <w:br/>
      </w:r>
      <w:r>
        <w:rPr>
          <w:rStyle w:val="KeywordTok"/>
        </w:rPr>
        <w:t xml:space="preserve">ALTER</w:t>
      </w:r>
      <w:r>
        <w:rPr>
          <w:rStyle w:val="NormalTok"/>
        </w:rPr>
        <w:t xml:space="preserve"> SERVER </w:t>
      </w:r>
      <w:r>
        <w:rPr>
          <w:rStyle w:val="KeywordTok"/>
        </w:rPr>
        <w:t xml:space="preserve">AUDIT</w:t>
      </w:r>
      <w:r>
        <w:rPr>
          <w:rStyle w:val="NormalTok"/>
        </w:rPr>
        <w:t xml:space="preserve"> [FMP_LoginParallelRun] </w:t>
      </w:r>
      <w:r>
        <w:rPr>
          <w:rStyle w:val="KeywordTok"/>
        </w:rPr>
        <w:t xml:space="preserve">WITH</w:t>
      </w:r>
      <w:r>
        <w:rPr>
          <w:rStyle w:val="NormalTok"/>
        </w:rPr>
        <w:t xml:space="preserve"> (STATE </w:t>
      </w:r>
      <w:r>
        <w:rPr>
          <w:rStyle w:val="OperatorTok"/>
        </w:rPr>
        <w:t xml:space="preserve">=</w:t>
      </w:r>
      <w:r>
        <w:rPr>
          <w:rStyle w:val="NormalTok"/>
        </w:rPr>
        <w:t xml:space="preserve"> </w:t>
      </w:r>
      <w:r>
        <w:rPr>
          <w:rStyle w:val="KeywordTok"/>
        </w:rPr>
        <w:t xml:space="preserve">ON</w:t>
      </w:r>
      <w:r>
        <w:rPr>
          <w:rStyle w:val="NormalTok"/>
        </w:rPr>
        <w:t xml:space="preserve">);</w:t>
      </w:r>
    </w:p>
    <w:p>
      <w:pPr>
        <w:pStyle w:val="FirstParagraph"/>
      </w:pPr>
      <w:r>
        <w:t xml:space="preserve">Size the file target for the instance’s login rate (pooled logins are recorded too), restrict access to the audit folder, and read the files with</w:t>
      </w:r>
      <w:r>
        <w:t xml:space="preserve"> </w:t>
      </w:r>
      <w:r>
        <w:rPr>
          <w:rStyle w:val="VerbatimChar"/>
        </w:rPr>
        <w:t xml:space="preserve">sys.fn_get_audit_file</w:t>
      </w:r>
      <w:r>
        <w:t xml:space="preserve">.</w:t>
      </w:r>
      <w:r>
        <w:rPr>
          <w:rStyle w:val="FootnoteReference"/>
        </w:rPr>
        <w:footnoteReference w:id="41"/>
      </w:r>
      <w:r>
        <w:t xml:space="preserve"> </w:t>
      </w:r>
      <w:r>
        <w:t xml:space="preserve">The exit criteria for the window:</w:t>
      </w:r>
    </w:p>
    <w:p>
      <w:pPr>
        <w:pStyle w:val="Compact"/>
        <w:numPr>
          <w:ilvl w:val="0"/>
          <w:numId w:val="1002"/>
        </w:numPr>
      </w:pPr>
      <w:r>
        <w:t xml:space="preserve">Every application and job that connected through a Windows login now also appears connecting through its Entra login.</w:t>
      </w:r>
    </w:p>
    <w:p>
      <w:pPr>
        <w:pStyle w:val="Compact"/>
        <w:numPr>
          <w:ilvl w:val="0"/>
          <w:numId w:val="1002"/>
        </w:numPr>
      </w:pPr>
      <w:r>
        <w:rPr>
          <w:b/>
          <w:bCs/>
        </w:rPr>
        <w:t xml:space="preserve">No</w:t>
      </w:r>
      <w:r>
        <w:t xml:space="preserve"> </w:t>
      </w:r>
      <w:r>
        <w:rPr>
          <w:rStyle w:val="VerbatimChar"/>
        </w:rPr>
        <w:t xml:space="preserve">NTLM</w:t>
      </w:r>
      <w:r>
        <w:t xml:space="preserve"> </w:t>
      </w:r>
      <w:r>
        <w:t xml:space="preserve">rows remain for the instance from remote clients (cross-check</w:t>
      </w:r>
      <w:r>
        <w:t xml:space="preserve"> </w:t>
      </w:r>
      <w:hyperlink r:id="rId43">
        <w:r>
          <w:rPr>
            <w:rStyle w:val="Hyperlink"/>
          </w:rPr>
          <w:t xml:space="preserve">Runbook R06</w:t>
        </w:r>
      </w:hyperlink>
      <w:r>
        <w:t xml:space="preserve">).</w:t>
      </w:r>
    </w:p>
    <w:p>
      <w:pPr>
        <w:pStyle w:val="Compact"/>
        <w:numPr>
          <w:ilvl w:val="0"/>
          <w:numId w:val="1002"/>
        </w:numPr>
      </w:pPr>
      <w:r>
        <w:t xml:space="preserve">No connection is</w:t>
      </w:r>
      <w:r>
        <w:t xml:space="preserve"> </w:t>
      </w:r>
      <w:r>
        <w:rPr>
          <w:i/>
          <w:iCs/>
        </w:rPr>
        <w:t xml:space="preserve">still</w:t>
      </w:r>
      <w:r>
        <w:t xml:space="preserve"> </w:t>
      </w:r>
      <w:r>
        <w:t xml:space="preserve">arriving only on the legacy Windows login.</w:t>
      </w:r>
    </w:p>
    <w:p>
      <w:pPr>
        <w:pStyle w:val="FirstParagraph"/>
      </w:pPr>
      <w:r>
        <w:rPr>
          <w:b/>
          <w:bCs/>
        </w:rPr>
        <w:t xml:space="preserve">Program automation.</w:t>
      </w:r>
      <w:r>
        <w:t xml:space="preserve"> </w:t>
      </w:r>
      <w:r>
        <w:rPr>
          <w:rStyle w:val="VerbatimChar"/>
        </w:rPr>
        <w:t xml:space="preserve">Test-FMPLoginParallelRun</w:t>
      </w:r>
      <w:r>
        <w:t xml:space="preserve"> </w:t>
      </w:r>
      <w:r>
        <w:t xml:space="preserve">evaluates a captured set of these observations (columns</w:t>
      </w:r>
      <w:r>
        <w:t xml:space="preserve"> </w:t>
      </w:r>
      <w:r>
        <w:rPr>
          <w:rStyle w:val="VerbatimChar"/>
        </w:rPr>
        <w:t xml:space="preserve">login_name</w:t>
      </w:r>
      <w:r>
        <w:t xml:space="preserve">,</w:t>
      </w:r>
      <w:r>
        <w:t xml:space="preserve"> </w:t>
      </w:r>
      <w:r>
        <w:rPr>
          <w:rStyle w:val="VerbatimChar"/>
        </w:rPr>
        <w:t xml:space="preserve">auth_scheme</w:t>
      </w:r>
      <w:r>
        <w:t xml:space="preserve">,</w:t>
      </w:r>
      <w:r>
        <w:t xml:space="preserve"> </w:t>
      </w:r>
      <w:r>
        <w:rPr>
          <w:rStyle w:val="VerbatimChar"/>
        </w:rPr>
        <w:t xml:space="preserve">sessions</w:t>
      </w:r>
      <w:r>
        <w:t xml:space="preserve">) against the exit criteria and returns a sealed</w:t>
      </w:r>
      <w:r>
        <w:t xml:space="preserve"> </w:t>
      </w:r>
      <w:r>
        <w:rPr>
          <w:rStyle w:val="VerbatimChar"/>
        </w:rPr>
        <w:t xml:space="preserve">cutover_ready</w:t>
      </w:r>
      <w:r>
        <w:t xml:space="preserve"> </w:t>
      </w:r>
      <w:r>
        <w:t xml:space="preserve">verdict, with each login’s observed schemes and whether it still arrives only on</w:t>
      </w:r>
      <w:r>
        <w:t xml:space="preserve"> </w:t>
      </w:r>
      <w:r>
        <w:rPr>
          <w:rStyle w:val="VerbatimChar"/>
        </w:rPr>
        <w:t xml:space="preserve">NTLM</w:t>
      </w:r>
      <w:r>
        <w:t xml:space="preserve"> </w:t>
      </w:r>
      <w:r>
        <w:t xml:space="preserve">or</w:t>
      </w:r>
      <w:r>
        <w:t xml:space="preserve"> </w:t>
      </w:r>
      <w:r>
        <w:rPr>
          <w:rStyle w:val="VerbatimChar"/>
        </w:rPr>
        <w:t xml:space="preserve">KERBEROS</w:t>
      </w:r>
      <w:r>
        <w:t xml:space="preserve">. It’s read-only: it reports readiness and never disables or drops a login. As reviewed for this edition, it counts a login as Entra-authenticated only when</w:t>
      </w:r>
      <w:r>
        <w:t xml:space="preserve"> </w:t>
      </w:r>
      <w:r>
        <w:rPr>
          <w:rStyle w:val="VerbatimChar"/>
        </w:rPr>
        <w:t xml:space="preserve">auth_scheme</w:t>
      </w:r>
      <w:r>
        <w:t xml:space="preserve"> </w:t>
      </w:r>
      <w:r>
        <w:t xml:space="preserve">reads</w:t>
      </w:r>
      <w:r>
        <w:t xml:space="preserve"> </w:t>
      </w:r>
      <w:r>
        <w:rPr>
          <w:rStyle w:val="VerbatimChar"/>
        </w:rPr>
        <w:t xml:space="preserve">AAD</w:t>
      </w:r>
      <w:r>
        <w:t xml:space="preserve">, which Microsoft doesn’t document, and it counts every</w:t>
      </w:r>
      <w:r>
        <w:t xml:space="preserve"> </w:t>
      </w:r>
      <w:r>
        <w:rPr>
          <w:rStyle w:val="VerbatimChar"/>
        </w:rPr>
        <w:t xml:space="preserve">NTLM</w:t>
      </w:r>
      <w:r>
        <w:t xml:space="preserve"> </w:t>
      </w:r>
      <w:r>
        <w:t xml:space="preserve">row, including local connections. Check both against the pilot before you rely on its verdict, and pre-filter local connections out of the observation file.</w:t>
      </w:r>
    </w:p>
    <w:bookmarkEnd w:id="44"/>
    <w:bookmarkStart w:id="48" w:name="step-4-cutover"/>
    <w:p>
      <w:pPr>
        <w:pStyle w:val="Heading2"/>
      </w:pPr>
      <w:r>
        <w:t xml:space="preserve">Step 4 — Cutover</w:t>
      </w:r>
    </w:p>
    <w:p>
      <w:pPr>
        <w:pStyle w:val="FirstParagraph"/>
      </w:pPr>
      <w:r>
        <w:t xml:space="preserve">Only after the observation window’s exit criteria are met:</w:t>
      </w:r>
    </w:p>
    <w:p>
      <w:pPr>
        <w:pStyle w:val="SourceCode"/>
      </w:pPr>
      <w:r>
        <w:rPr>
          <w:rStyle w:val="CommentTok"/>
        </w:rPr>
        <w:t xml:space="preserve">-- Disable (don't drop) the superseded Windows login.</w:t>
      </w:r>
      <w:r>
        <w:br/>
      </w:r>
      <w:r>
        <w:rPr>
          <w:rStyle w:val="KeywordTok"/>
        </w:rPr>
        <w:t xml:space="preserve">ALTER</w:t>
      </w:r>
      <w:r>
        <w:rPr>
          <w:rStyle w:val="NormalTok"/>
        </w:rPr>
        <w:t xml:space="preserve"> LOGIN [CONTOSO\jdoe] </w:t>
      </w:r>
      <w:r>
        <w:rPr>
          <w:rStyle w:val="KeywordTok"/>
        </w:rPr>
        <w:t xml:space="preserve">DISABLE</w:t>
      </w:r>
      <w:r>
        <w:rPr>
          <w:rStyle w:val="NormalTok"/>
        </w:rPr>
        <w:t xml:space="preserve">;</w:t>
      </w:r>
    </w:p>
    <w:p>
      <w:pPr>
        <w:pStyle w:val="FirstParagraph"/>
      </w:pPr>
      <w:r>
        <w:t xml:space="preserve">Disable, observe for a further short tail, and only then consider dropping. Two things to check before you call a principal cut over. A principal often has more than one Windows path into the instance, such as an individual login and membership in one or more Windows</w:t>
      </w:r>
      <w:r>
        <w:t xml:space="preserve"> </w:t>
      </w:r>
      <w:r>
        <w:rPr>
          <w:b/>
          <w:bCs/>
        </w:rPr>
        <w:t xml:space="preserve">group</w:t>
      </w:r>
      <w:r>
        <w:t xml:space="preserve"> </w:t>
      </w:r>
      <w:r>
        <w:t xml:space="preserve">logins; cut over the group logins too, and confirm in the audit record that no Windows-authenticated logins remain for the principal. And disabling a login that is a</w:t>
      </w:r>
      <w:r>
        <w:t xml:space="preserve"> </w:t>
      </w:r>
      <w:r>
        <w:rPr>
          <w:rStyle w:val="VerbatimChar"/>
        </w:rPr>
        <w:t xml:space="preserve">sysadmin</w:t>
      </w:r>
      <w:r>
        <w:t xml:space="preserve"> </w:t>
      </w:r>
      <w:r>
        <w:t xml:space="preserve">member also needs</w:t>
      </w:r>
      <w:r>
        <w:t xml:space="preserve"> </w:t>
      </w:r>
      <w:r>
        <w:rPr>
          <w:rStyle w:val="VerbatimChar"/>
        </w:rPr>
        <w:t xml:space="preserve">CONTROL SERVER</w:t>
      </w:r>
      <w:r>
        <w:t xml:space="preserve">.</w:t>
      </w:r>
      <w:r>
        <w:rPr>
          <w:rStyle w:val="FootnoteReference"/>
        </w:rPr>
        <w:footnoteReference w:id="45"/>
      </w:r>
      <w:r>
        <w:t xml:space="preserve"> </w:t>
      </w:r>
      <w:r>
        <w:t xml:space="preserve">The narrative’s rule, that the date is a backstop and the migration must already be complete, applies here: the program’s 2027-04-01 NTLM backstop (</w:t>
      </w:r>
      <w:hyperlink r:id="rId43">
        <w:r>
          <w:rPr>
            <w:rStyle w:val="Hyperlink"/>
          </w:rPr>
          <w:t xml:space="preserve">Runbook R06</w:t>
        </w:r>
      </w:hyperlink>
      <w:r>
        <w:t xml:space="preserve">) is a program planning date, not a Microsoft deadline (</w:t>
      </w:r>
      <w:hyperlink r:id="rId47">
        <w:r>
          <w:rPr>
            <w:rStyle w:val="Hyperlink"/>
          </w:rPr>
          <w:t xml:space="preserve">Chapter 02</w:t>
        </w:r>
      </w:hyperlink>
      <w:r>
        <w:t xml:space="preserve">), and it assumes this cutover is finished well before it.</w:t>
      </w:r>
    </w:p>
    <w:bookmarkEnd w:id="48"/>
    <w:bookmarkStart w:id="49" w:name="rollback"/>
    <w:p>
      <w:pPr>
        <w:pStyle w:val="Heading2"/>
      </w:pPr>
      <w:r>
        <w:t xml:space="preserve">Rollback</w:t>
      </w:r>
    </w:p>
    <w:p>
      <w:pPr>
        <w:pStyle w:val="FirstParagraph"/>
      </w:pPr>
      <w:r>
        <w:t xml:space="preserve">Because the Windows logins are</w:t>
      </w:r>
      <w:r>
        <w:t xml:space="preserve"> </w:t>
      </w:r>
      <w:r>
        <w:rPr>
          <w:b/>
          <w:bCs/>
        </w:rPr>
        <w:t xml:space="preserve">disabled, not dropped</w:t>
      </w:r>
      <w:r>
        <w:t xml:space="preserve">, rollback is immediate:</w:t>
      </w:r>
    </w:p>
    <w:p>
      <w:pPr>
        <w:pStyle w:val="SourceCode"/>
      </w:pPr>
      <w:r>
        <w:rPr>
          <w:rStyle w:val="KeywordTok"/>
        </w:rPr>
        <w:t xml:space="preserve">ALTER</w:t>
      </w:r>
      <w:r>
        <w:rPr>
          <w:rStyle w:val="NormalTok"/>
        </w:rPr>
        <w:t xml:space="preserve"> LOGIN [CONTOSO\jdoe] </w:t>
      </w:r>
      <w:r>
        <w:rPr>
          <w:rStyle w:val="KeywordTok"/>
        </w:rPr>
        <w:t xml:space="preserve">ENABLE</w:t>
      </w:r>
      <w:r>
        <w:rPr>
          <w:rStyle w:val="NormalTok"/>
        </w:rPr>
        <w:t xml:space="preserve">;</w:t>
      </w:r>
    </w:p>
    <w:p>
      <w:pPr>
        <w:pStyle w:val="FirstParagraph"/>
      </w:pPr>
      <w:r>
        <w:t xml:space="preserve">The Windows database users from Step 2 are still in place, so re-enabling the login restores the old path in full. That is why nothing is dropped during the migration: keeping a disabled login costs almost nothing against the value of an instant rollback path.</w:t>
      </w:r>
    </w:p>
    <w:bookmarkEnd w:id="49"/>
    <w:bookmarkStart w:id="56" w:name="the-sa-account"/>
    <w:p>
      <w:pPr>
        <w:pStyle w:val="Heading2"/>
      </w:pPr>
      <w:r>
        <w:t xml:space="preserve">The</w:t>
      </w:r>
      <w:r>
        <w:t xml:space="preserve"> </w:t>
      </w:r>
      <w:r>
        <w:rPr>
          <w:rStyle w:val="VerbatimChar"/>
        </w:rPr>
        <w:t xml:space="preserve">sa</w:t>
      </w:r>
      <w:r>
        <w:t xml:space="preserve"> </w:t>
      </w:r>
      <w:r>
        <w:t xml:space="preserve">account</w:t>
      </w:r>
    </w:p>
    <w:p>
      <w:pPr>
        <w:pStyle w:val="FirstParagraph"/>
      </w:pPr>
      <w:r>
        <w:t xml:space="preserve">If the R03 audit flagged</w:t>
      </w:r>
      <w:r>
        <w:t xml:space="preserve"> </w:t>
      </w:r>
      <w:r>
        <w:rPr>
          <w:rStyle w:val="VerbatimChar"/>
        </w:rPr>
        <w:t xml:space="preserve">sa</w:t>
      </w:r>
      <w:r>
        <w:t xml:space="preserve"> </w:t>
      </w:r>
      <w:r>
        <w:t xml:space="preserve">as enabled (</w:t>
      </w:r>
      <w:r>
        <w:rPr>
          <w:rStyle w:val="VerbatimChar"/>
        </w:rPr>
        <w:t xml:space="preserve">EntraIDBlockers</w:t>
      </w:r>
      <w:r>
        <w:t xml:space="preserve">), remediate it here, independently of user migration. Confirm first that another</w:t>
      </w:r>
      <w:r>
        <w:t xml:space="preserve"> </w:t>
      </w:r>
      <w:r>
        <w:rPr>
          <w:rStyle w:val="VerbatimChar"/>
        </w:rPr>
        <w:t xml:space="preserve">sysadmin</w:t>
      </w:r>
      <w:r>
        <w:t xml:space="preserve"> </w:t>
      </w:r>
      <w:r>
        <w:t xml:space="preserve">can sign in, such as the Entra admin set in</w:t>
      </w:r>
      <w:r>
        <w:t xml:space="preserve"> </w:t>
      </w:r>
      <w:hyperlink r:id="rId17">
        <w:r>
          <w:rPr>
            <w:rStyle w:val="Hyperlink"/>
          </w:rPr>
          <w:t xml:space="preserve">Runbook R04</w:t>
        </w:r>
      </w:hyperlink>
      <w:r>
        <w:t xml:space="preserve">. Then disable</w:t>
      </w:r>
      <w:r>
        <w:t xml:space="preserve"> </w:t>
      </w:r>
      <w:r>
        <w:rPr>
          <w:rStyle w:val="VerbatimChar"/>
        </w:rPr>
        <w:t xml:space="preserve">sa</w:t>
      </w:r>
      <w:r>
        <w:t xml:space="preserve">, and rename it if your standard requires it. It’s never a migration target; it’s a finding to close.</w:t>
      </w:r>
    </w:p>
    <w:p>
      <w:pPr>
        <w:pStyle w:val="SourceCode"/>
      </w:pPr>
      <w:r>
        <w:rPr>
          <w:rStyle w:val="KeywordTok"/>
        </w:rPr>
        <w:t xml:space="preserve">ALTER</w:t>
      </w:r>
      <w:r>
        <w:rPr>
          <w:rStyle w:val="NormalTok"/>
        </w:rPr>
        <w:t xml:space="preserve"> LOGIN [sa] </w:t>
      </w:r>
      <w:r>
        <w:rPr>
          <w:rStyle w:val="KeywordTok"/>
        </w:rPr>
        <w:t xml:space="preserve">DISABLE</w:t>
      </w:r>
      <w:r>
        <w:rPr>
          <w:rStyle w:val="NormalTok"/>
        </w:rPr>
        <w:t xml:space="preserve">;</w:t>
      </w:r>
      <w:r>
        <w:br/>
      </w:r>
      <w:r>
        <w:rPr>
          <w:rStyle w:val="CommentTok"/>
        </w:rPr>
        <w:t xml:space="preserve">-- Optional, if your standard requires it:</w:t>
      </w:r>
      <w:r>
        <w:br/>
      </w:r>
      <w:r>
        <w:rPr>
          <w:rStyle w:val="CommentTok"/>
        </w:rPr>
        <w:t xml:space="preserve">-- ALTER LOGIN [sa] WITH NAME = [&lt;new name&gt;];</w:t>
      </w:r>
    </w:p>
    <w:p>
      <w:pPr>
        <w:pStyle w:val="FirstParagraph"/>
      </w:pPr>
      <w:r>
        <w:t xml:space="preserve">Closing the enabled</w:t>
      </w:r>
      <w:r>
        <w:t xml:space="preserve"> </w:t>
      </w:r>
      <w:r>
        <w:rPr>
          <w:rStyle w:val="VerbatimChar"/>
        </w:rPr>
        <w:t xml:space="preserve">sa</w:t>
      </w:r>
      <w:r>
        <w:t xml:space="preserve"> </w:t>
      </w:r>
      <w:r>
        <w:t xml:space="preserve">account is one step toward Windows-only, then Entra-only, authentication. For instances connected to Arc, Microsoft added a portal option to disable SQL authentication, generally available since April 2026; use it, after the SQL logins themselves are migrated, to close mixed mode.</w:t>
      </w:r>
      <w:r>
        <w:rPr>
          <w:rStyle w:val="FootnoteReference"/>
        </w:rPr>
        <w:footnoteReference w:id="50"/>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53" name="Picture"/>
                  <a:graphic>
                    <a:graphicData uri="http://schemas.openxmlformats.org/drawingml/2006/picture">
                      <pic:pic>
                        <pic:nvPicPr>
                          <pic:cNvPr descr="/opt/quarto/share/formats/docx/tip.png" id="54" name="Picture"/>
                          <pic:cNvPicPr>
                            <a:picLocks noChangeArrowheads="1" noChangeAspect="1"/>
                          </pic:cNvPicPr>
                        </pic:nvPicPr>
                        <pic:blipFill>
                          <a:blip r:embed="rId5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7">
              <w:r>
                <w:rPr>
                  <w:rStyle w:val="Hyperlink"/>
                </w:rPr>
                <w:t xml:space="preserve">← Previous: Runbook R04 — Arc Deployment &amp; the Managed Identity</w:t>
              </w:r>
            </w:hyperlink>
            <w:r>
              <w:t xml:space="preserve"> </w:t>
            </w:r>
            <w:r>
              <w:t xml:space="preserve">·</w:t>
            </w:r>
            <w:r>
              <w:t xml:space="preserve"> </w:t>
            </w:r>
            <w:hyperlink r:id="rId55">
              <w:r>
                <w:rPr>
                  <w:rStyle w:val="Hyperlink"/>
                </w:rPr>
                <w:t xml:space="preserve">Book index</w:t>
              </w:r>
            </w:hyperlink>
            <w:r>
              <w:t xml:space="preserve"> </w:t>
            </w:r>
            <w:r>
              <w:t xml:space="preserve">·</w:t>
            </w:r>
            <w:r>
              <w:t xml:space="preserve"> </w:t>
            </w:r>
            <w:hyperlink r:id="rId43">
              <w:r>
                <w:rPr>
                  <w:rStyle w:val="Hyperlink"/>
                </w:rPr>
                <w:t xml:space="preserve">Next: Runbook R06 — NTLM Detection &amp; Remediation →</w:t>
              </w:r>
            </w:hyperlink>
          </w:p>
          <w:p/>
        </w:tc>
      </w:tr>
    </w:tbl>
    <w:bookmarkEnd w:id="56"/>
    <w:bookmarkEnd w:id="5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1">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22">
        <w:r>
          <w:rPr>
            <w:rStyle w:val="Hyperlink"/>
          </w:rPr>
          <w:t xml:space="preserve">https://learn.microsoft.com/sql/sql-server/azure-arc/entra-authentication-setup-tutorial#create-logins-and-users</w:t>
        </w:r>
      </w:hyperlink>
      <w:r>
        <w:t xml:space="preserve"> </w:t>
      </w:r>
      <w:r>
        <w:t xml:space="preserve">(accessed Oct 20, 2026).</w:t>
      </w:r>
    </w:p>
  </w:footnote>
  <w:footnote w:id="24">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22">
        <w:r>
          <w:rPr>
            <w:rStyle w:val="Hyperlink"/>
          </w:rPr>
          <w:t xml:space="preserve">https://learn.microsoft.com/sql/sql-server/azure-arc/entra-authentication-setup-tutorial#create-logins-and-users</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22">
        <w:r>
          <w:rPr>
            <w:rStyle w:val="Hyperlink"/>
          </w:rPr>
          <w:t xml:space="preserve">https://learn.microsoft.com/sql/sql-server/azure-arc/entra-authentication-setup-tutorial#create-logins-and-users</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“ALTER USER (Transact-SQL),”</w:t>
      </w:r>
      <w:r>
        <w:t xml:space="preserve"> </w:t>
      </w:r>
      <w:r>
        <w:t xml:space="preserve">remarks for SQL Server and for Azure SQL Managed Instance,</w:t>
      </w:r>
      <w:r>
        <w:t xml:space="preserve"> </w:t>
      </w:r>
      <w:hyperlink r:id="rId31">
        <w:r>
          <w:rPr>
            <w:rStyle w:val="Hyperlink"/>
          </w:rPr>
          <w:t xml:space="preserve">https://learn.microsoft.com/sql/t-sql/statements/alter-user-transact-sql</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r>
        <w:t xml:space="preserve">create logins and users,</w:t>
      </w:r>
      <w:r>
        <w:t xml:space="preserve"> </w:t>
      </w:r>
      <w:hyperlink r:id="rId22">
        <w:r>
          <w:rPr>
            <w:rStyle w:val="Hyperlink"/>
          </w:rPr>
          <w:t xml:space="preserve">https://learn.microsoft.com/sql/sql-server/azure-arc/entra-authentication-setup-tutorial#create-logins-and-users</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“sys.dm_exec_connections (Transact-SQL),”</w:t>
      </w:r>
      <w:r>
        <w:t xml:space="preserve"> </w:t>
      </w:r>
      <w:hyperlink r:id="rId35">
        <w:r>
          <w:rPr>
            <w:rStyle w:val="Hyperlink"/>
          </w:rPr>
          <w:t xml:space="preserve">https://learn.microsoft.com/sql/relational-databases/system-dynamic-management-views/sys-dm-exec-connections-transact-sql</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“How to determine if the authentication type is Kerberos,”</w:t>
      </w:r>
      <w:r>
        <w:t xml:space="preserve"> </w:t>
      </w:r>
      <w:hyperlink r:id="rId37">
        <w:r>
          <w:rPr>
            <w:rStyle w:val="Hyperlink"/>
          </w:rPr>
          <w:t xml:space="preserve">https://learn.microsoft.com/troubleshoot/sql/database-engine/connect/determine-the-authentication-type</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“sys.dm_exec_connections (Transact-SQL),”</w:t>
      </w:r>
      <w:r>
        <w:t xml:space="preserve"> </w:t>
      </w:r>
      <w:hyperlink r:id="rId35">
        <w:r>
          <w:rPr>
            <w:rStyle w:val="Hyperlink"/>
          </w:rPr>
          <w:t xml:space="preserve">https://learn.microsoft.com/sql/relational-databases/system-dynamic-management-views/sys-dm-exec-connections-transact-sql</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“SQL Server Audit action groups and actions,”</w:t>
      </w:r>
      <w:r>
        <w:t xml:space="preserve"> </w:t>
      </w:r>
      <w:r>
        <w:t xml:space="preserve">server-level audit action groups,</w:t>
      </w:r>
      <w:r>
        <w:t xml:space="preserve"> </w:t>
      </w:r>
      <w:hyperlink r:id="rId40">
        <w:r>
          <w:rPr>
            <w:rStyle w:val="Hyperlink"/>
          </w:rPr>
          <w:t xml:space="preserve">https://learn.microsoft.com/sql/relational-databases/security/auditing/sql-server-audit-action-groups-and-actions</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“CREATE SERVER AUDIT (Transact-SQL),”</w:t>
      </w:r>
      <w:r>
        <w:t xml:space="preserve"> </w:t>
      </w:r>
      <w:hyperlink r:id="rId42">
        <w:r>
          <w:rPr>
            <w:rStyle w:val="Hyperlink"/>
          </w:rPr>
          <w:t xml:space="preserve">https://learn.microsoft.com/sql/t-sql/statements/create-server-audit-transact-sql</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“ALTER LOGIN (Transact-SQL),”</w:t>
      </w:r>
      <w:r>
        <w:t xml:space="preserve"> </w:t>
      </w:r>
      <w:r>
        <w:t xml:space="preserve">permissions,</w:t>
      </w:r>
      <w:r>
        <w:t xml:space="preserve"> </w:t>
      </w:r>
      <w:hyperlink r:id="rId46">
        <w:r>
          <w:rPr>
            <w:rStyle w:val="Hyperlink"/>
          </w:rPr>
          <w:t xml:space="preserve">https://learn.microsoft.com/sql/t-sql/statements/alter-login-transact-sql</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“Release notes - SQL Server enabled by Azure Arc,”</w:t>
      </w:r>
      <w:r>
        <w:t xml:space="preserve"> </w:t>
      </w:r>
      <w:r>
        <w:t xml:space="preserve">general availability,</w:t>
      </w:r>
      <w:r>
        <w:t xml:space="preserve"> </w:t>
      </w:r>
      <w:hyperlink r:id="rId51">
        <w:r>
          <w:rPr>
            <w:rStyle w:val="Hyperlink"/>
          </w:rPr>
          <w:t xml:space="preserve">https://learn.microsoft.com/sql/sql-server/azure-arc/release-notes</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 Target="media/rId14.png" /><Relationship Type="http://schemas.openxmlformats.org/officeDocument/2006/relationships/image" Id="rId9" Target="media/rId9.png" /><Relationship Type="http://schemas.openxmlformats.org/officeDocument/2006/relationships/image" Id="rId52" Target="media/rId52.png" /><Relationship Type="http://schemas.openxmlformats.org/officeDocument/2006/relationships/image" Id="rId26" Target="media/rId26.png" /><Relationship Type="http://schemas.openxmlformats.org/officeDocument/2006/relationships/hyperlink" Id="rId47" Target="02-why-the-inheritance-must-end.md" TargetMode="External" /><Relationship Type="http://schemas.openxmlformats.org/officeDocument/2006/relationships/hyperlink" Id="rId18" Target="06-retain-consolidate-retire.md" TargetMode="External" /><Relationship Type="http://schemas.openxmlformats.org/officeDocument/2006/relationships/hyperlink" Id="rId12" Target="11-three-principal-types.md" TargetMode="External" /><Relationship Type="http://schemas.openxmlformats.org/officeDocument/2006/relationships/hyperlink" Id="rId13" Target="12-the-engine-authentication-decision.md" TargetMode="External" /><Relationship Type="http://schemas.openxmlformats.org/officeDocument/2006/relationships/hyperlink" Id="rId40" Target="https://learn.microsoft.com/sql/relational-databases/security/auditing/sql-server-audit-action-groups-and-actions" TargetMode="External" /><Relationship Type="http://schemas.openxmlformats.org/officeDocument/2006/relationships/hyperlink" Id="rId35" Target="https://learn.microsoft.com/sql/relational-databases/system-dynamic-management-views/sys-dm-exec-connections-transact-sql" TargetMode="External" /><Relationship Type="http://schemas.openxmlformats.org/officeDocument/2006/relationships/hyperlink" Id="rId22" Target="https://learn.microsoft.com/sql/sql-server/azure-arc/entra-authentication-setup-tutorial#create-logins-and-users" TargetMode="External" /><Relationship Type="http://schemas.openxmlformats.org/officeDocument/2006/relationships/hyperlink" Id="rId51" Target="https://learn.microsoft.com/sql/sql-server/azure-arc/release-notes" TargetMode="External" /><Relationship Type="http://schemas.openxmlformats.org/officeDocument/2006/relationships/hyperlink" Id="rId46" Target="https://learn.microsoft.com/sql/t-sql/statements/alter-login-transact-sql" TargetMode="External" /><Relationship Type="http://schemas.openxmlformats.org/officeDocument/2006/relationships/hyperlink" Id="rId31" Target="https://learn.microsoft.com/sql/t-sql/statements/alter-user-transact-sql" TargetMode="External" /><Relationship Type="http://schemas.openxmlformats.org/officeDocument/2006/relationships/hyperlink" Id="rId42" Target="https://learn.microsoft.com/sql/t-sql/statements/create-server-audit-transact-sql" TargetMode="External" /><Relationship Type="http://schemas.openxmlformats.org/officeDocument/2006/relationships/hyperlink" Id="rId37" Target="https://learn.microsoft.com/troubleshoot/sql/database-engine/connect/determine-the-authentication-type" TargetMode="External" /><Relationship Type="http://schemas.openxmlformats.org/officeDocument/2006/relationships/hyperlink" Id="rId55" Target="index.md" TargetMode="External" /><Relationship Type="http://schemas.openxmlformats.org/officeDocument/2006/relationships/hyperlink" Id="rId19" Target="r02-estate-discovery-and-consolidation-gate.md" TargetMode="External" /><Relationship Type="http://schemas.openxmlformats.org/officeDocument/2006/relationships/hyperlink" Id="rId20" Target="r03-the-authentication-audit.md" TargetMode="External" /><Relationship Type="http://schemas.openxmlformats.org/officeDocument/2006/relationships/hyperlink" Id="rId17" Target="r04-arc-deployment-and-managed-identity.md" TargetMode="External" /><Relationship Type="http://schemas.openxmlformats.org/officeDocument/2006/relationships/hyperlink" Id="rId43" Target="r06-ntlm-detection-and-remediation.md" TargetMode="External" /></Relationships>
</file>

<file path=word/_rels/footnotes.xml.rels><?xml version="1.0" encoding="UTF-8"?><Relationships xmlns="http://schemas.openxmlformats.org/package/2006/relationships"><Relationship Type="http://schemas.openxmlformats.org/officeDocument/2006/relationships/hyperlink" Id="rId47" Target="02-why-the-inheritance-must-end.md" TargetMode="External" /><Relationship Type="http://schemas.openxmlformats.org/officeDocument/2006/relationships/hyperlink" Id="rId18" Target="06-retain-consolidate-retire.md" TargetMode="External" /><Relationship Type="http://schemas.openxmlformats.org/officeDocument/2006/relationships/hyperlink" Id="rId12" Target="11-three-principal-types.md" TargetMode="External" /><Relationship Type="http://schemas.openxmlformats.org/officeDocument/2006/relationships/hyperlink" Id="rId13" Target="12-the-engine-authentication-decision.md" TargetMode="External" /><Relationship Type="http://schemas.openxmlformats.org/officeDocument/2006/relationships/hyperlink" Id="rId40" Target="https://learn.microsoft.com/sql/relational-databases/security/auditing/sql-server-audit-action-groups-and-actions" TargetMode="External" /><Relationship Type="http://schemas.openxmlformats.org/officeDocument/2006/relationships/hyperlink" Id="rId35" Target="https://learn.microsoft.com/sql/relational-databases/system-dynamic-management-views/sys-dm-exec-connections-transact-sql" TargetMode="External" /><Relationship Type="http://schemas.openxmlformats.org/officeDocument/2006/relationships/hyperlink" Id="rId22" Target="https://learn.microsoft.com/sql/sql-server/azure-arc/entra-authentication-setup-tutorial#create-logins-and-users" TargetMode="External" /><Relationship Type="http://schemas.openxmlformats.org/officeDocument/2006/relationships/hyperlink" Id="rId51" Target="https://learn.microsoft.com/sql/sql-server/azure-arc/release-notes" TargetMode="External" /><Relationship Type="http://schemas.openxmlformats.org/officeDocument/2006/relationships/hyperlink" Id="rId46" Target="https://learn.microsoft.com/sql/t-sql/statements/alter-login-transact-sql" TargetMode="External" /><Relationship Type="http://schemas.openxmlformats.org/officeDocument/2006/relationships/hyperlink" Id="rId31" Target="https://learn.microsoft.com/sql/t-sql/statements/alter-user-transact-sql" TargetMode="External" /><Relationship Type="http://schemas.openxmlformats.org/officeDocument/2006/relationships/hyperlink" Id="rId42" Target="https://learn.microsoft.com/sql/t-sql/statements/create-server-audit-transact-sql" TargetMode="External" /><Relationship Type="http://schemas.openxmlformats.org/officeDocument/2006/relationships/hyperlink" Id="rId37" Target="https://learn.microsoft.com/troubleshoot/sql/database-engine/connect/determine-the-authentication-type" TargetMode="External" /><Relationship Type="http://schemas.openxmlformats.org/officeDocument/2006/relationships/hyperlink" Id="rId55" Target="index.md" TargetMode="External" /><Relationship Type="http://schemas.openxmlformats.org/officeDocument/2006/relationships/hyperlink" Id="rId19" Target="r02-estate-discovery-and-consolidation-gate.md" TargetMode="External" /><Relationship Type="http://schemas.openxmlformats.org/officeDocument/2006/relationships/hyperlink" Id="rId20" Target="r03-the-authentication-audit.md" TargetMode="External" /><Relationship Type="http://schemas.openxmlformats.org/officeDocument/2006/relationships/hyperlink" Id="rId17" Target="r04-arc-deployment-and-managed-identity.md" TargetMode="External" /><Relationship Type="http://schemas.openxmlformats.org/officeDocument/2006/relationships/hyperlink" Id="rId43" Target="r06-ntlm-detection-and-remediatio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Runbook R05 — Login Migration &amp; Parallel-Run Validation</dc:title>
  <dc:creator/>
  <dc:description>A review-required runbook for migrating SQL Server authentication to Microsoft Entra ID: take the login inventory from Runbook R03, codify the Windows-to-Entra mapping from the program’s identity reconciliation, generate idempotent CREATE LOGIN … FROM EXTERNAL PROVIDER statements as a dry-run script, create Entra database users beside the Windows ones, run a 30-day parallel-run observation window, then cut over and keep an instant rollback. The program’s mapping, script-generation and parallel-run functions execute nothing; the steps stay review-required because the T-SQL they produce changes production logins.</dc:description>
  <cp:keywords/>
  <dcterms:created xsi:type="dcterms:W3CDTF">2026-10-20T23:26:19Z</dcterms:created>
  <dcterms:modified xsi:type="dcterms:W3CDTF">2026-10-20T23:26:19Z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105</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