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89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Appendix A — Cloud PKI and CBA Deployment Checklists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95" w:name="X4428d5c1b79ef0dedae9d59941ce20effecc39c"/>
    <w:p>
      <w:pPr>
        <w:pStyle w:val="Heading1"/>
      </w:pPr>
      <w:r>
        <w:t xml:space="preserve">Appendix A — Cloud PKI and CBA Deployment Checklists</w:t>
      </w:r>
    </w:p>
    <w:p>
      <w:pPr>
        <w:pStyle w:val="FirstParagraph"/>
      </w:pPr>
      <w:r>
        <w:rPr>
          <w:i/>
          <w:iCs/>
        </w:rPr>
        <w:t xml:space="preserve">A checklist is only as good as the test at the end of each line.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In this appendix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Checklist A.1 deploys Microsoft Cloud PKI and the Intune profiles that use it, wave by wave. Checklist A.2 configures Microsoft Entra certificate-based authentication (CBA) from licensing through domain cutover and monitoring. Each line names an owner role and how to verify it. The reasoning behind each step is in</w:t>
            </w:r>
            <w:r>
              <w:t xml:space="preserve"> </w:t>
            </w:r>
            <w:hyperlink r:id="rId12">
              <w:r>
                <w:rPr>
                  <w:rStyle w:val="Hyperlink"/>
                </w:rPr>
                <w:t xml:space="preserve">Chapter 06</w:t>
              </w:r>
            </w:hyperlink>
            <w:r>
              <w:t xml:space="preserve"> </w:t>
            </w:r>
            <w:r>
              <w:t xml:space="preserve">and</w:t>
            </w:r>
            <w:r>
              <w:t xml:space="preserve"> </w:t>
            </w:r>
            <w:hyperlink r:id="rId13">
              <w:r>
                <w:rPr>
                  <w:rStyle w:val="Hyperlink"/>
                </w:rPr>
                <w:t xml:space="preserve">Chapter 07</w:t>
              </w:r>
            </w:hyperlink>
            <w:r>
              <w:t xml:space="preserve">; owner roles follow</w:t>
            </w:r>
            <w:r>
              <w:t xml:space="preserve"> </w:t>
            </w:r>
            <w:hyperlink r:id="rId14">
              <w:r>
                <w:rPr>
                  <w:rStyle w:val="Hyperlink"/>
                </w:rPr>
                <w:t xml:space="preserve">Chapter 05</w:t>
              </w:r>
            </w:hyperlink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The waves are those of</w:t>
      </w:r>
      <w:r>
        <w:t xml:space="preserve"> </w:t>
      </w:r>
      <w:hyperlink r:id="rId13">
        <w:r>
          <w:rPr>
            <w:rStyle w:val="Hyperlink"/>
          </w:rPr>
          <w:t xml:space="preserve">Chapter 07</w:t>
        </w:r>
      </w:hyperlink>
      <w:r>
        <w:t xml:space="preserve">: Assess, Foundation, Pilot, Scale, Cutover, Decommission. Thresholds such as</w:t>
      </w:r>
      <w:r>
        <w:t xml:space="preserve"> </w:t>
      </w:r>
      <w:r>
        <w:t xml:space="preserve">“99% of devices”</w:t>
      </w:r>
      <w:r>
        <w:t xml:space="preserve"> </w:t>
      </w:r>
      <w:r>
        <w:t xml:space="preserve">are the program’s gates, not Microsoft requirements.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1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Illustrative, not tested against a production tenant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commands in this appendix are examples. They haven’t been run against a production forest or tenant. Read each one, run it first in a test scope, and review the output before you change anything.</w:t>
            </w:r>
          </w:p>
          <w:p/>
        </w:tc>
      </w:tr>
    </w:tbl>
    <w:bookmarkStart w:id="49" w:name="a.1-cloud-pki-deployment-checklist"/>
    <w:p>
      <w:pPr>
        <w:pStyle w:val="Heading2"/>
      </w:pPr>
      <w:r>
        <w:t xml:space="preserve">A.1 Cloud PKI deployment checklist</w:t>
      </w:r>
    </w:p>
    <w:p>
      <w:pPr>
        <w:pStyle w:val="TableCaption"/>
      </w:pPr>
      <w:r>
        <w:t xml:space="preserve">Cloud PKI deployment checklist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tblCaption w:val="Cloud PKI deployment checklist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#</w:t>
            </w:r>
          </w:p>
        </w:tc>
        <w:tc>
          <w:tcPr/>
          <w:p>
            <w:pPr>
              <w:pStyle w:val="Compact"/>
            </w:pPr>
            <w:r>
              <w:t xml:space="preserve">Task</w:t>
            </w:r>
          </w:p>
        </w:tc>
        <w:tc>
          <w:tcPr/>
          <w:p>
            <w:pPr>
              <w:pStyle w:val="Compact"/>
            </w:pPr>
            <w:r>
              <w:t xml:space="preserve">Wave</w:t>
            </w:r>
          </w:p>
        </w:tc>
        <w:tc>
          <w:tcPr/>
          <w:p>
            <w:pPr>
              <w:pStyle w:val="Compact"/>
            </w:pPr>
            <w:r>
              <w:t xml:space="preserve">Owner</w:t>
            </w:r>
          </w:p>
        </w:tc>
        <w:tc>
          <w:tcPr/>
          <w:p>
            <w:pPr>
              <w:pStyle w:val="Compact"/>
            </w:pPr>
            <w:r>
              <w:t xml:space="preserve">Verification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Confirm the tenant’s Cloud PKI entitlement: an add-on subscription to Intune Plan 1 or Plan 2, or (commercial tenants, from July 2026) Microsoft 365 E5 or E7. For a GCC tenant, confirm with licensing; Government packaging follows the enterprise plans subject to compliance requirements.</w:t>
            </w:r>
            <w:r>
              <w:rPr>
                <w:rStyle w:val="FootnoteReference"/>
              </w:rPr>
              <w:footnoteReference w:id="18"/>
            </w:r>
            <w:r>
              <w:rPr>
                <w:rStyle w:val="FootnoteReference"/>
              </w:rPr>
              <w:footnoteReference w:id="20"/>
            </w:r>
          </w:p>
        </w:tc>
        <w:tc>
          <w:tcPr/>
          <w:p>
            <w:pPr>
              <w:pStyle w:val="Compact"/>
            </w:pPr>
            <w:r>
              <w:t xml:space="preserve">Foundation</w:t>
            </w:r>
          </w:p>
        </w:tc>
        <w:tc>
          <w:tcPr/>
          <w:p>
            <w:pPr>
              <w:pStyle w:val="Compact"/>
            </w:pPr>
            <w:r>
              <w:t xml:space="preserve">Licensing</w:t>
            </w:r>
          </w:p>
        </w:tc>
        <w:tc>
          <w:tcPr/>
          <w:p>
            <w:pPr>
              <w:pStyle w:val="Compact"/>
            </w:pPr>
            <w:r>
              <w:t xml:space="preserve">Cloud PKI shows as active under Tenant administration &gt; Intune add-ons, or in the license record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Choose the deployment model: Cloud PKI root and issuing CA, or a BYOCA issuing CA anchored to the existing private root (</w:t>
            </w:r>
            <w:hyperlink r:id="rId23">
              <w:r>
                <w:rPr>
                  <w:rStyle w:val="Hyperlink"/>
                </w:rPr>
                <w:t xml:space="preserve">Chapter 04</w:t>
              </w:r>
            </w:hyperlink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Foundation</w:t>
            </w:r>
          </w:p>
        </w:tc>
        <w:tc>
          <w:tcPr/>
          <w:p>
            <w:pPr>
              <w:pStyle w:val="Compact"/>
            </w:pPr>
            <w:r>
              <w:t xml:space="preserve">PKI architect</w:t>
            </w:r>
          </w:p>
        </w:tc>
        <w:tc>
          <w:tcPr/>
          <w:p>
            <w:pPr>
              <w:pStyle w:val="Compact"/>
            </w:pPr>
            <w:r>
              <w:t xml:space="preserve">Decision record signed by the PKI owner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Plan CA count against the limit of three CAs per tenant (root, issuing and BYOCA issuing CAs all count)</w:t>
            </w:r>
            <w:r>
              <w:rPr>
                <w:rStyle w:val="FootnoteReference"/>
              </w:rPr>
              <w:footnoteReference w:id="24"/>
            </w:r>
          </w:p>
        </w:tc>
        <w:tc>
          <w:tcPr/>
          <w:p>
            <w:pPr>
              <w:pStyle w:val="Compact"/>
            </w:pPr>
            <w:r>
              <w:t xml:space="preserve">Foundation</w:t>
            </w:r>
          </w:p>
        </w:tc>
        <w:tc>
          <w:tcPr/>
          <w:p>
            <w:pPr>
              <w:pStyle w:val="Compact"/>
            </w:pPr>
            <w:r>
              <w:t xml:space="preserve">PKI architect</w:t>
            </w:r>
          </w:p>
        </w:tc>
        <w:tc>
          <w:tcPr/>
          <w:p>
            <w:pPr>
              <w:pStyle w:val="Compact"/>
            </w:pPr>
            <w:r>
              <w:t xml:space="preserve">CA plan lists no more than three CAs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Fix each CA’s properties before creating it: EKUs (no Any Purpose), subject, RSA key size; they can’t be edited later</w:t>
            </w:r>
            <w:r>
              <w:rPr>
                <w:rStyle w:val="FootnoteReference"/>
              </w:rPr>
              <w:footnoteReference w:id="25"/>
            </w:r>
          </w:p>
        </w:tc>
        <w:tc>
          <w:tcPr/>
          <w:p>
            <w:pPr>
              <w:pStyle w:val="Compact"/>
            </w:pPr>
            <w:r>
              <w:t xml:space="preserve">Foundation</w:t>
            </w:r>
          </w:p>
        </w:tc>
        <w:tc>
          <w:tcPr/>
          <w:p>
            <w:pPr>
              <w:pStyle w:val="Compact"/>
            </w:pPr>
            <w:r>
              <w:t xml:space="preserve">PKI architect</w:t>
            </w:r>
          </w:p>
        </w:tc>
        <w:tc>
          <w:tcPr/>
          <w:p>
            <w:pPr>
              <w:pStyle w:val="Compact"/>
            </w:pPr>
            <w:r>
              <w:t xml:space="preserve">Properties reviewed against the issuance policy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i/>
                <w:iCs/>
              </w:rPr>
              <w:t xml:space="preserve">Cloud root model:</w:t>
            </w:r>
            <w:r>
              <w:t xml:space="preserve"> </w:t>
            </w:r>
            <w:r>
              <w:t xml:space="preserve">create the Cloud PKI root CA, then the issuing CA under it, with a licensed tenant (HSM-backed keys), not during a trial (trial CAs keep software keys)</w:t>
            </w:r>
            <w:r>
              <w:rPr>
                <w:rStyle w:val="FootnoteReference"/>
              </w:rPr>
              <w:footnoteReference w:id="27"/>
            </w:r>
          </w:p>
        </w:tc>
        <w:tc>
          <w:tcPr/>
          <w:p>
            <w:pPr>
              <w:pStyle w:val="Compact"/>
            </w:pPr>
            <w:r>
              <w:t xml:space="preserve">Foundation</w:t>
            </w:r>
          </w:p>
        </w:tc>
        <w:tc>
          <w:tcPr/>
          <w:p>
            <w:pPr>
              <w:pStyle w:val="Compact"/>
            </w:pPr>
            <w:r>
              <w:t xml:space="preserve">PKI admin</w:t>
            </w:r>
          </w:p>
        </w:tc>
        <w:tc>
          <w:tcPr/>
          <w:p>
            <w:pPr>
              <w:pStyle w:val="Compact"/>
            </w:pPr>
            <w:r>
              <w:t xml:space="preserve">Both CAs show Active in Tenant administration &gt; Cloud PKI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i/>
                <w:iCs/>
              </w:rPr>
              <w:t xml:space="preserve">BYOCA model:</w:t>
            </w:r>
            <w:r>
              <w:t xml:space="preserve"> </w:t>
            </w:r>
            <w:r>
              <w:t xml:space="preserve">create the BYOCA issuing CA and download its certificate request</w:t>
            </w:r>
            <w:r>
              <w:rPr>
                <w:rStyle w:val="FootnoteReference"/>
              </w:rPr>
              <w:footnoteReference w:id="28"/>
            </w:r>
          </w:p>
        </w:tc>
        <w:tc>
          <w:tcPr/>
          <w:p>
            <w:pPr>
              <w:pStyle w:val="Compact"/>
            </w:pPr>
            <w:r>
              <w:t xml:space="preserve">Foundation</w:t>
            </w:r>
          </w:p>
        </w:tc>
        <w:tc>
          <w:tcPr/>
          <w:p>
            <w:pPr>
              <w:pStyle w:val="Compact"/>
            </w:pPr>
            <w:r>
              <w:t xml:space="preserve">PKI admin</w:t>
            </w:r>
          </w:p>
        </w:tc>
        <w:tc>
          <w:tcPr/>
          <w:p>
            <w:pPr>
              <w:pStyle w:val="Compact"/>
            </w:pPr>
            <w:r>
              <w:t xml:space="preserve">CA status reads Signing required;</w:t>
            </w:r>
            <w:r>
              <w:t xml:space="preserve"> </w:t>
            </w:r>
            <w:r>
              <w:rPr>
                <w:rStyle w:val="VerbatimChar"/>
              </w:rPr>
              <w:t xml:space="preserve">.req</w:t>
            </w:r>
            <w:r>
              <w:t xml:space="preserve"> </w:t>
            </w:r>
            <w:r>
              <w:t xml:space="preserve">file saved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i/>
                <w:iCs/>
              </w:rPr>
              <w:t xml:space="preserve">BYOCA model:</w:t>
            </w:r>
            <w:r>
              <w:t xml:space="preserve"> </w:t>
            </w:r>
            <w:r>
              <w:t xml:space="preserve">sign the request on the private CA with the Subordinate Certification Authority template (the program signs with the offline root); export the signed certificate and the full chain as</w:t>
            </w:r>
            <w:r>
              <w:t xml:space="preserve"> </w:t>
            </w:r>
            <w:r>
              <w:rPr>
                <w:rStyle w:val="VerbatimChar"/>
              </w:rPr>
              <w:t xml:space="preserve">.p7b</w:t>
            </w:r>
            <w:r>
              <w:rPr>
                <w:rStyle w:val="FootnoteReference"/>
              </w:rPr>
              <w:footnoteReference w:id="29"/>
            </w:r>
          </w:p>
        </w:tc>
        <w:tc>
          <w:tcPr/>
          <w:p>
            <w:pPr>
              <w:pStyle w:val="Compact"/>
            </w:pPr>
            <w:r>
              <w:t xml:space="preserve">Foundation</w:t>
            </w:r>
          </w:p>
        </w:tc>
        <w:tc>
          <w:tcPr/>
          <w:p>
            <w:pPr>
              <w:pStyle w:val="Compact"/>
            </w:pPr>
            <w:r>
              <w:t xml:space="preserve">PKI admin</w:t>
            </w:r>
          </w:p>
        </w:tc>
        <w:tc>
          <w:tcPr/>
          <w:p>
            <w:pPr>
              <w:pStyle w:val="Compact"/>
            </w:pPr>
            <w:r>
              <w:t xml:space="preserve">Signed</w:t>
            </w:r>
            <w:r>
              <w:t xml:space="preserve"> </w:t>
            </w:r>
            <w:r>
              <w:rPr>
                <w:rStyle w:val="VerbatimChar"/>
              </w:rPr>
              <w:t xml:space="preserve">.cer</w:t>
            </w:r>
            <w:r>
              <w:t xml:space="preserve"> </w:t>
            </w:r>
            <w:r>
              <w:t xml:space="preserve">and chain file in the ceremony record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i/>
                <w:iCs/>
              </w:rPr>
              <w:t xml:space="preserve">BYOCA model:</w:t>
            </w:r>
            <w:r>
              <w:t xml:space="preserve"> </w:t>
            </w:r>
            <w:r>
              <w:t xml:space="preserve">upload the signed certificate and chain to the BYOCA issuing CA</w:t>
            </w:r>
            <w:r>
              <w:rPr>
                <w:rStyle w:val="FootnoteReference"/>
              </w:rPr>
              <w:footnoteReference w:id="30"/>
            </w:r>
          </w:p>
        </w:tc>
        <w:tc>
          <w:tcPr/>
          <w:p>
            <w:pPr>
              <w:pStyle w:val="Compact"/>
            </w:pPr>
            <w:r>
              <w:t xml:space="preserve">Foundation</w:t>
            </w:r>
          </w:p>
        </w:tc>
        <w:tc>
          <w:tcPr/>
          <w:p>
            <w:pPr>
              <w:pStyle w:val="Compact"/>
            </w:pPr>
            <w:r>
              <w:t xml:space="preserve">PKI admin</w:t>
            </w:r>
          </w:p>
        </w:tc>
        <w:tc>
          <w:tcPr/>
          <w:p>
            <w:pPr>
              <w:pStyle w:val="Compact"/>
            </w:pPr>
            <w:r>
              <w:t xml:space="preserve">Status Active; root common name shows External root CA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Record each CA’s CRL distribution point and AIA URIs from its properties. Intune hosts them for Cloud PKI CAs; for BYOCA, the parent CRL and AIA come from the private CA, and AD CS defaults to an LDAP AIA location</w:t>
            </w:r>
            <w:r>
              <w:rPr>
                <w:rStyle w:val="FootnoteReference"/>
              </w:rPr>
              <w:footnoteReference w:id="31"/>
            </w:r>
          </w:p>
        </w:tc>
        <w:tc>
          <w:tcPr/>
          <w:p>
            <w:pPr>
              <w:pStyle w:val="Compact"/>
            </w:pPr>
            <w:r>
              <w:t xml:space="preserve">Foundation</w:t>
            </w:r>
          </w:p>
        </w:tc>
        <w:tc>
          <w:tcPr/>
          <w:p>
            <w:pPr>
              <w:pStyle w:val="Compact"/>
            </w:pPr>
            <w:r>
              <w:t xml:space="preserve">PKI admin</w:t>
            </w:r>
          </w:p>
        </w:tc>
        <w:tc>
          <w:tcPr/>
          <w:p>
            <w:pPr>
              <w:pStyle w:val="Compact"/>
            </w:pPr>
            <w:r>
              <w:t xml:space="preserve">URIs listed in the CA register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Confirm every CRL and AIA URL is reachable over HTTP from inside the network and from the internet</w:t>
            </w:r>
          </w:p>
        </w:tc>
        <w:tc>
          <w:tcPr/>
          <w:p>
            <w:pPr>
              <w:pStyle w:val="Compact"/>
            </w:pPr>
            <w:r>
              <w:t xml:space="preserve">Foundation</w:t>
            </w:r>
          </w:p>
        </w:tc>
        <w:tc>
          <w:tcPr/>
          <w:p>
            <w:pPr>
              <w:pStyle w:val="Compact"/>
            </w:pPr>
            <w:r>
              <w:t xml:space="preserve">Network</w:t>
            </w:r>
          </w:p>
        </w:tc>
        <w:tc>
          <w:tcPr/>
          <w:p>
            <w:pPr>
              <w:pStyle w:val="Compact"/>
            </w:pPr>
            <w:r>
              <w:t xml:space="preserve">HTTP 200 from both locations; private-CA LDAP-only locations replaced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Download each CA certificate in DER</w:t>
            </w:r>
            <w:r>
              <w:t xml:space="preserve"> </w:t>
            </w:r>
            <w:r>
              <w:rPr>
                <w:rStyle w:val="VerbatimChar"/>
              </w:rPr>
              <w:t xml:space="preserve">.cer</w:t>
            </w:r>
            <w:r>
              <w:t xml:space="preserve"> </w:t>
            </w:r>
            <w:r>
              <w:t xml:space="preserve">form (Cloud PKI: CA properties &gt; Download)</w:t>
            </w:r>
            <w:r>
              <w:rPr>
                <w:rStyle w:val="FootnoteReference"/>
              </w:rPr>
              <w:footnoteReference w:id="32"/>
            </w:r>
            <w:r>
              <w:rPr>
                <w:rStyle w:val="FootnoteReference"/>
              </w:rPr>
              <w:footnoteReference w:id="33"/>
            </w:r>
          </w:p>
        </w:tc>
        <w:tc>
          <w:tcPr/>
          <w:p>
            <w:pPr>
              <w:pStyle w:val="Compact"/>
            </w:pPr>
            <w:r>
              <w:t xml:space="preserve">Foundation</w:t>
            </w:r>
          </w:p>
        </w:tc>
        <w:tc>
          <w:tcPr/>
          <w:p>
            <w:pPr>
              <w:pStyle w:val="Compact"/>
            </w:pPr>
            <w:r>
              <w:t xml:space="preserve">PKI admin</w:t>
            </w:r>
          </w:p>
        </w:tc>
        <w:tc>
          <w:tcPr/>
          <w:p>
            <w:pPr>
              <w:pStyle w:val="Compact"/>
            </w:pPr>
            <w:r>
              <w:t xml:space="preserve">Files match the CA register thumbprints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For each CA that will issue user certificates for Entra CBA, add it to the Entra ID PKI-based trust store (checklist A.2, step 5)</w:t>
            </w:r>
          </w:p>
        </w:tc>
        <w:tc>
          <w:tcPr/>
          <w:p>
            <w:pPr>
              <w:pStyle w:val="Compact"/>
            </w:pPr>
            <w:r>
              <w:t xml:space="preserve">Foundation</w:t>
            </w:r>
          </w:p>
        </w:tc>
        <w:tc>
          <w:tcPr/>
          <w:p>
            <w:pPr>
              <w:pStyle w:val="Compact"/>
            </w:pPr>
            <w:r>
              <w:t xml:space="preserve">Identity admin</w:t>
            </w:r>
          </w:p>
        </w:tc>
        <w:tc>
          <w:tcPr/>
          <w:p>
            <w:pPr>
              <w:pStyle w:val="Compact"/>
            </w:pPr>
            <w:r>
              <w:t xml:space="preserve">CA listed in the trust store with its CRL URL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 a trusted certificate profile per platform for the root, for each intermediate, and for the issuing CA; for BYOCA, one for every CA in the private chain plus the BYOCA issuing CA</w:t>
            </w:r>
            <w:r>
              <w:rPr>
                <w:rStyle w:val="FootnoteReference"/>
              </w:rPr>
              <w:footnoteReference w:id="35"/>
            </w:r>
            <w:r>
              <w:rPr>
                <w:rStyle w:val="FootnoteReference"/>
              </w:rPr>
              <w:footnoteReference w:id="36"/>
            </w:r>
          </w:p>
        </w:tc>
        <w:tc>
          <w:tcPr/>
          <w:p>
            <w:pPr>
              <w:pStyle w:val="Compact"/>
            </w:pPr>
            <w:r>
              <w:t xml:space="preserve">Foundation</w:t>
            </w:r>
          </w:p>
        </w:tc>
        <w:tc>
          <w:tcPr/>
          <w:p>
            <w:pPr>
              <w:pStyle w:val="Compact"/>
            </w:pPr>
            <w:r>
              <w:t xml:space="preserve">Intune admin</w:t>
            </w:r>
          </w:p>
        </w:tc>
        <w:tc>
          <w:tcPr/>
          <w:p>
            <w:pPr>
              <w:pStyle w:val="Compact"/>
            </w:pPr>
            <w:r>
              <w:t xml:space="preserve">Profiles exist for Windows, iOS/iPadOS, Android and macOS as needed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Assign the trusted certificate profiles to every group that will get a cloud SCEP profile or a Wi-Fi, VPN or email profile using one</w:t>
            </w:r>
            <w:r>
              <w:rPr>
                <w:rStyle w:val="FootnoteReference"/>
              </w:rPr>
              <w:footnoteReference w:id="37"/>
            </w:r>
          </w:p>
        </w:tc>
        <w:tc>
          <w:tcPr/>
          <w:p>
            <w:pPr>
              <w:pStyle w:val="Compact"/>
            </w:pPr>
            <w:r>
              <w:t xml:space="preserve">Foundation</w:t>
            </w:r>
          </w:p>
        </w:tc>
        <w:tc>
          <w:tcPr/>
          <w:p>
            <w:pPr>
              <w:pStyle w:val="Compact"/>
            </w:pPr>
            <w:r>
              <w:t xml:space="preserve">Intune admin</w:t>
            </w:r>
          </w:p>
        </w:tc>
        <w:tc>
          <w:tcPr/>
          <w:p>
            <w:pPr>
              <w:pStyle w:val="Compact"/>
            </w:pPr>
            <w:r>
              <w:t xml:space="preserve">Assignment report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Confirm trusted certificate profile success on at least 99% of targeted devices</w:t>
            </w:r>
          </w:p>
        </w:tc>
        <w:tc>
          <w:tcPr/>
          <w:p>
            <w:pPr>
              <w:pStyle w:val="Compact"/>
            </w:pPr>
            <w:r>
              <w:t xml:space="preserve">Foundation</w:t>
            </w:r>
          </w:p>
        </w:tc>
        <w:tc>
          <w:tcPr/>
          <w:p>
            <w:pPr>
              <w:pStyle w:val="Compact"/>
            </w:pPr>
            <w:r>
              <w:t xml:space="preserve">Intune admin</w:t>
            </w:r>
          </w:p>
        </w:tc>
        <w:tc>
          <w:tcPr/>
          <w:p>
            <w:pPr>
              <w:pStyle w:val="Compact"/>
            </w:pPr>
            <w:r>
              <w:t xml:space="preserve">Profile device status report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Deploy the cloud chain to domain-joined relying parties (RADIUS, VPN, mTLS servers) by Group Policy or</w:t>
            </w:r>
            <w:r>
              <w:t xml:space="preserve"> </w:t>
            </w:r>
            <w:r>
              <w:rPr>
                <w:rStyle w:val="VerbatimChar"/>
              </w:rPr>
              <w:t xml:space="preserve">certutil -dspublish &lt;file&gt; RootCA</w:t>
            </w:r>
            <w:r>
              <w:t xml:space="preserve"> </w:t>
            </w:r>
            <w:r>
              <w:t xml:space="preserve">(</w:t>
            </w:r>
            <w:hyperlink r:id="rId13">
              <w:r>
                <w:rPr>
                  <w:rStyle w:val="Hyperlink"/>
                </w:rPr>
                <w:t xml:space="preserve">Chapter 07</w:t>
              </w:r>
            </w:hyperlink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Foundation</w:t>
            </w:r>
          </w:p>
        </w:tc>
        <w:tc>
          <w:tcPr/>
          <w:p>
            <w:pPr>
              <w:pStyle w:val="Compact"/>
            </w:pPr>
            <w:r>
              <w:t xml:space="preserve">AD admin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certutil -verify</w:t>
            </w:r>
            <w:r>
              <w:t xml:space="preserve"> </w:t>
            </w:r>
            <w:r>
              <w:t xml:space="preserve">on a relying party builds the chain without errors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Decide whether any cloud CA will issue logon certificates for the forest; publish to NTAuth (</w:t>
            </w:r>
            <w:r>
              <w:rPr>
                <w:rStyle w:val="VerbatimChar"/>
              </w:rPr>
              <w:t xml:space="preserve">certutil -dspublish &lt;file&gt; NTAuthCA</w:t>
            </w:r>
            <w:r>
              <w:t xml:space="preserve">) only if so</w:t>
            </w:r>
          </w:p>
        </w:tc>
        <w:tc>
          <w:tcPr/>
          <w:p>
            <w:pPr>
              <w:pStyle w:val="Compact"/>
            </w:pPr>
            <w:r>
              <w:t xml:space="preserve">Foundation</w:t>
            </w:r>
          </w:p>
        </w:tc>
        <w:tc>
          <w:tcPr/>
          <w:p>
            <w:pPr>
              <w:pStyle w:val="Compact"/>
            </w:pPr>
            <w:r>
              <w:t xml:space="preserve">PKI architect</w:t>
            </w:r>
          </w:p>
        </w:tc>
        <w:tc>
          <w:tcPr/>
          <w:p>
            <w:pPr>
              <w:pStyle w:val="Compact"/>
            </w:pPr>
            <w:r>
              <w:t xml:space="preserve">Decision record; NTAuth contents match it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i/>
                <w:iCs/>
              </w:rPr>
              <w:t xml:space="preserve">Only if AD CS still serves SCEP or PKCS to Intune:</w:t>
            </w:r>
            <w:r>
              <w:t xml:space="preserve"> </w:t>
            </w:r>
            <w:r>
              <w:t xml:space="preserve">install the current Certificate Connector release on a domain-joined server that isn’t the issuing CA, isn’t a domain controller and doesn’t host the Intune Connector for Active Directory; enable automatic updates</w:t>
            </w:r>
            <w:r>
              <w:rPr>
                <w:rStyle w:val="FootnoteReference"/>
              </w:rPr>
              <w:footnoteReference w:id="38"/>
            </w:r>
            <w:r>
              <w:rPr>
                <w:rStyle w:val="FootnoteReference"/>
              </w:rPr>
              <w:footnoteReference w:id="40"/>
            </w:r>
          </w:p>
        </w:tc>
        <w:tc>
          <w:tcPr/>
          <w:p>
            <w:pPr>
              <w:pStyle w:val="Compact"/>
            </w:pPr>
            <w:r>
              <w:t xml:space="preserve">Foundation</w:t>
            </w:r>
          </w:p>
        </w:tc>
        <w:tc>
          <w:tcPr/>
          <w:p>
            <w:pPr>
              <w:pStyle w:val="Compact"/>
            </w:pPr>
            <w:r>
              <w:t xml:space="preserve">Server admin</w:t>
            </w:r>
          </w:p>
        </w:tc>
        <w:tc>
          <w:tcPr/>
          <w:p>
            <w:pPr>
              <w:pStyle w:val="Compact"/>
            </w:pPr>
            <w:r>
              <w:t xml:space="preserve">Connector listed under Tenant administration &gt; Connectors and tokens &gt; Certificate connectors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Confirm connector health and version; alert on Warning or Error status</w:t>
            </w:r>
            <w:r>
              <w:rPr>
                <w:rStyle w:val="FootnoteReference"/>
              </w:rPr>
              <w:footnoteReference w:id="42"/>
            </w:r>
          </w:p>
        </w:tc>
        <w:tc>
          <w:tcPr/>
          <w:p>
            <w:pPr>
              <w:pStyle w:val="Compact"/>
            </w:pPr>
            <w:r>
              <w:t xml:space="preserve">Foundation</w:t>
            </w:r>
          </w:p>
        </w:tc>
        <w:tc>
          <w:tcPr/>
          <w:p>
            <w:pPr>
              <w:pStyle w:val="Compact"/>
            </w:pPr>
            <w:r>
              <w:t xml:space="preserve">Intune admin</w:t>
            </w:r>
          </w:p>
        </w:tc>
        <w:tc>
          <w:tcPr/>
          <w:p>
            <w:pPr>
              <w:pStyle w:val="Compact"/>
            </w:pPr>
            <w:r>
              <w:t xml:space="preserve">Status healthy; version is a supported release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Issue a test certificate to a test device and validate it on each relying party type</w:t>
            </w:r>
          </w:p>
        </w:tc>
        <w:tc>
          <w:tcPr/>
          <w:p>
            <w:pPr>
              <w:pStyle w:val="Compact"/>
            </w:pPr>
            <w:r>
              <w:t xml:space="preserve">Foundation</w:t>
            </w:r>
          </w:p>
        </w:tc>
        <w:tc>
          <w:tcPr/>
          <w:p>
            <w:pPr>
              <w:pStyle w:val="Compact"/>
            </w:pPr>
            <w:r>
              <w:t xml:space="preserve">PKI admin</w:t>
            </w:r>
          </w:p>
        </w:tc>
        <w:tc>
          <w:tcPr/>
          <w:p>
            <w:pPr>
              <w:pStyle w:val="Compact"/>
            </w:pPr>
            <w:r>
              <w:t xml:space="preserve">Validation record per relying party type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Create the pilot Wi-Fi 802.1X SCEP profile per platform, linked to the root trusted certificate profile, with the issuing CA’s SCEP URI (leave</w:t>
            </w:r>
            <w:r>
              <w:t xml:space="preserve"> </w:t>
            </w:r>
            <w:r>
              <w:rPr>
                <w:rStyle w:val="VerbatimChar"/>
              </w:rPr>
              <w:t xml:space="preserve">{CloudPKIFQDN}</w:t>
            </w:r>
            <w:r>
              <w:t xml:space="preserve"> </w:t>
            </w:r>
            <w:r>
              <w:t xml:space="preserve">as is); EKUs present on the issuing CA; no NDES URLs mixed in</w:t>
            </w:r>
            <w:r>
              <w:rPr>
                <w:rStyle w:val="FootnoteReference"/>
              </w:rPr>
              <w:footnoteReference w:id="43"/>
            </w:r>
          </w:p>
        </w:tc>
        <w:tc>
          <w:tcPr/>
          <w:p>
            <w:pPr>
              <w:pStyle w:val="Compact"/>
            </w:pPr>
            <w:r>
              <w:t xml:space="preserve">Pilot</w:t>
            </w:r>
          </w:p>
        </w:tc>
        <w:tc>
          <w:tcPr/>
          <w:p>
            <w:pPr>
              <w:pStyle w:val="Compact"/>
            </w:pPr>
            <w:r>
              <w:t xml:space="preserve">Intune admin</w:t>
            </w:r>
          </w:p>
        </w:tc>
        <w:tc>
          <w:tcPr/>
          <w:p>
            <w:pPr>
              <w:pStyle w:val="Compact"/>
            </w:pPr>
            <w:r>
              <w:t xml:space="preserve">Profile created; no configuration errors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Where the certificate will be used against AD, add a SAN URI attribute with</w:t>
            </w:r>
            <w:r>
              <w:t xml:space="preserve"> </w:t>
            </w:r>
            <w:r>
              <w:rPr>
                <w:rStyle w:val="VerbatimChar"/>
              </w:rPr>
              <w:t xml:space="preserve">{OnPremisesSecurityIdentifier}</w:t>
            </w:r>
            <w:r>
              <w:t xml:space="preserve">, in a new profile, not by editing a production profile</w:t>
            </w:r>
            <w:r>
              <w:rPr>
                <w:rStyle w:val="FootnoteReference"/>
              </w:rPr>
              <w:footnoteReference w:id="44"/>
            </w:r>
            <w:r>
              <w:rPr>
                <w:rStyle w:val="FootnoteReference"/>
              </w:rPr>
              <w:footnoteReference w:id="46"/>
            </w:r>
          </w:p>
        </w:tc>
        <w:tc>
          <w:tcPr/>
          <w:p>
            <w:pPr>
              <w:pStyle w:val="Compact"/>
            </w:pPr>
            <w:r>
              <w:t xml:space="preserve">Pilot</w:t>
            </w:r>
          </w:p>
        </w:tc>
        <w:tc>
          <w:tcPr/>
          <w:p>
            <w:pPr>
              <w:pStyle w:val="Compact"/>
            </w:pPr>
            <w:r>
              <w:t xml:space="preserve">Intune admin</w:t>
            </w:r>
          </w:p>
        </w:tc>
        <w:tc>
          <w:tcPr/>
          <w:p>
            <w:pPr>
              <w:pStyle w:val="Compact"/>
            </w:pPr>
            <w:r>
              <w:t xml:space="preserve">Issued certificate’s SAN contains</w:t>
            </w:r>
            <w:r>
              <w:t xml:space="preserve"> </w:t>
            </w:r>
            <w:r>
              <w:rPr>
                <w:rStyle w:val="VerbatimChar"/>
              </w:rPr>
              <w:t xml:space="preserve">tag:microsoft.com,2022-09-14:sid: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Assign the SCEP profile to the pilot device group; keep AD CS auto-enrollment on for those devices</w:t>
            </w:r>
          </w:p>
        </w:tc>
        <w:tc>
          <w:tcPr/>
          <w:p>
            <w:pPr>
              <w:pStyle w:val="Compact"/>
            </w:pPr>
            <w:r>
              <w:t xml:space="preserve">Pilot</w:t>
            </w:r>
          </w:p>
        </w:tc>
        <w:tc>
          <w:tcPr/>
          <w:p>
            <w:pPr>
              <w:pStyle w:val="Compact"/>
            </w:pPr>
            <w:r>
              <w:t xml:space="preserve">Intune admin</w:t>
            </w:r>
          </w:p>
        </w:tc>
        <w:tc>
          <w:tcPr/>
          <w:p>
            <w:pPr>
              <w:pStyle w:val="Compact"/>
            </w:pPr>
            <w:r>
              <w:t xml:space="preserve">Certificates issued; AD CS certificates still present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Confirm the RADIUS servers trust the cloud chain and can reach its CRL</w:t>
            </w:r>
          </w:p>
        </w:tc>
        <w:tc>
          <w:tcPr/>
          <w:p>
            <w:pPr>
              <w:pStyle w:val="Compact"/>
            </w:pPr>
            <w:r>
              <w:t xml:space="preserve">Pilot</w:t>
            </w:r>
          </w:p>
        </w:tc>
        <w:tc>
          <w:tcPr/>
          <w:p>
            <w:pPr>
              <w:pStyle w:val="Compact"/>
            </w:pPr>
            <w:r>
              <w:t xml:space="preserve">Network</w:t>
            </w:r>
          </w:p>
        </w:tc>
        <w:tc>
          <w:tcPr/>
          <w:p>
            <w:pPr>
              <w:pStyle w:val="Compact"/>
            </w:pPr>
            <w:r>
              <w:t xml:space="preserve">NPS or RADIUS log shows successful validation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Verify end-to-end Wi-Fi authentication with the cloud certificate</w:t>
            </w:r>
          </w:p>
        </w:tc>
        <w:tc>
          <w:tcPr/>
          <w:p>
            <w:pPr>
              <w:pStyle w:val="Compact"/>
            </w:pPr>
            <w:r>
              <w:t xml:space="preserve">Pilot</w:t>
            </w:r>
          </w:p>
        </w:tc>
        <w:tc>
          <w:tcPr/>
          <w:p>
            <w:pPr>
              <w:pStyle w:val="Compact"/>
            </w:pPr>
            <w:r>
              <w:t xml:space="preserve">Network and PKI</w:t>
            </w:r>
          </w:p>
        </w:tc>
        <w:tc>
          <w:tcPr/>
          <w:p>
            <w:pPr>
              <w:pStyle w:val="Compact"/>
            </w:pPr>
            <w:r>
              <w:t xml:space="preserve">Successful 802.1X sessions for pilot devices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Create and assign the VPN SCEP profile; verify VPN authentication</w:t>
            </w:r>
          </w:p>
        </w:tc>
        <w:tc>
          <w:tcPr/>
          <w:p>
            <w:pPr>
              <w:pStyle w:val="Compact"/>
            </w:pPr>
            <w:r>
              <w:t xml:space="preserve">Pilot</w:t>
            </w:r>
          </w:p>
        </w:tc>
        <w:tc>
          <w:tcPr/>
          <w:p>
            <w:pPr>
              <w:pStyle w:val="Compact"/>
            </w:pPr>
            <w:r>
              <w:t xml:space="preserve">Intune admin, network</w:t>
            </w:r>
          </w:p>
        </w:tc>
        <w:tc>
          <w:tcPr/>
          <w:p>
            <w:pPr>
              <w:pStyle w:val="Compact"/>
            </w:pPr>
            <w:r>
              <w:t xml:space="preserve">Successful VPN sessions for pilot devices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Extend SCEP profiles to production rings through dynamic groups</w:t>
            </w:r>
          </w:p>
        </w:tc>
        <w:tc>
          <w:tcPr/>
          <w:p>
            <w:pPr>
              <w:pStyle w:val="Compact"/>
            </w:pPr>
            <w:r>
              <w:t xml:space="preserve">Scale</w:t>
            </w:r>
          </w:p>
        </w:tc>
        <w:tc>
          <w:tcPr/>
          <w:p>
            <w:pPr>
              <w:pStyle w:val="Compact"/>
            </w:pPr>
            <w:r>
              <w:t xml:space="preserve">Intune admin</w:t>
            </w:r>
          </w:p>
        </w:tc>
        <w:tc>
          <w:tcPr/>
          <w:p>
            <w:pPr>
              <w:pStyle w:val="Compact"/>
            </w:pPr>
            <w:r>
              <w:t xml:space="preserve">Issuance success per ring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For each migrated ring, remove AD CS auto-enrollment for its MIGRATE templates</w:t>
            </w:r>
          </w:p>
        </w:tc>
        <w:tc>
          <w:tcPr/>
          <w:p>
            <w:pPr>
              <w:pStyle w:val="Compact"/>
            </w:pPr>
            <w:r>
              <w:t xml:space="preserve">Scale and Cutover</w:t>
            </w:r>
          </w:p>
        </w:tc>
        <w:tc>
          <w:tcPr/>
          <w:p>
            <w:pPr>
              <w:pStyle w:val="Compact"/>
            </w:pPr>
            <w:r>
              <w:t xml:space="preserve">AD admin</w:t>
            </w:r>
          </w:p>
        </w:tc>
        <w:tc>
          <w:tcPr/>
          <w:p>
            <w:pPr>
              <w:pStyle w:val="Compact"/>
            </w:pPr>
            <w:r>
              <w:t xml:space="preserve">GPO links and template permissions updated; change record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Confirm no unexpired AD CS certificates remain on managed endpoints for MIGRATE use cases</w:t>
            </w:r>
          </w:p>
        </w:tc>
        <w:tc>
          <w:tcPr/>
          <w:p>
            <w:pPr>
              <w:pStyle w:val="Compact"/>
            </w:pPr>
            <w:r>
              <w:t xml:space="preserve">Cutover</w:t>
            </w:r>
          </w:p>
        </w:tc>
        <w:tc>
          <w:tcPr/>
          <w:p>
            <w:pPr>
              <w:pStyle w:val="Compact"/>
            </w:pPr>
            <w:r>
              <w:t xml:space="preserve">PKI admin</w:t>
            </w:r>
          </w:p>
        </w:tc>
        <w:tc>
          <w:tcPr/>
          <w:p>
            <w:pPr>
              <w:pStyle w:val="Compact"/>
            </w:pPr>
            <w:r>
              <w:t xml:space="preserve">Inventory report shows zero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Retire AD CS components that served only MIGRATE workloads (NDES and connector servers no longer needed, retired issuing CAs, their enrollment service objects and auto-enrollment GPOs), following</w:t>
            </w:r>
            <w:r>
              <w:t xml:space="preserve"> </w:t>
            </w:r>
            <w:hyperlink r:id="rId48">
              <w:r>
                <w:rPr>
                  <w:rStyle w:val="Hyperlink"/>
                </w:rPr>
                <w:t xml:space="preserve">Chapter 08</w:t>
              </w:r>
            </w:hyperlink>
            <w:r>
              <w:t xml:space="preserve">; archive each CA’s database and keys first</w:t>
            </w:r>
          </w:p>
        </w:tc>
        <w:tc>
          <w:tcPr/>
          <w:p>
            <w:pPr>
              <w:pStyle w:val="Compact"/>
            </w:pPr>
            <w:r>
              <w:t xml:space="preserve">Decommission</w:t>
            </w:r>
          </w:p>
        </w:tc>
        <w:tc>
          <w:tcPr/>
          <w:p>
            <w:pPr>
              <w:pStyle w:val="Compact"/>
            </w:pPr>
            <w:r>
              <w:t xml:space="preserve">PKI admin, server admin, AD admin</w:t>
            </w:r>
          </w:p>
        </w:tc>
        <w:tc>
          <w:tcPr/>
          <w:p>
            <w:pPr>
              <w:pStyle w:val="Compact"/>
            </w:pPr>
            <w:r>
              <w:t xml:space="preserve">Decommission record committed to the evidence repository</w:t>
            </w:r>
          </w:p>
        </w:tc>
      </w:tr>
    </w:tbl>
    <w:p>
      <w:pPr>
        <w:pStyle w:val="BodyText"/>
      </w:pPr>
      <w:r>
        <w:t xml:space="preserve">Changes from the guide’s version: the CSR steps now apply only to the BYOCA model, because a Cloud PKI root signs its own issuing CA inside Intune; CA certificates are exported DER-encoded; the cloud chain goes to domain-joined relying parties in the Foundation wave, before the pilot needs it, not in Scale; the connector is optional and must be on a current, supported release rather than</w:t>
      </w:r>
      <w:r>
        <w:t xml:space="preserve"> </w:t>
      </w:r>
      <w:r>
        <w:t xml:space="preserve">“v6.2406+”</w:t>
      </w:r>
      <w:r>
        <w:t xml:space="preserve">; and the strong-mapping, NTAuth and three-CA-limit steps are new.</w:t>
      </w:r>
    </w:p>
    <w:bookmarkEnd w:id="49"/>
    <w:bookmarkStart w:id="94" w:name="a.2-entra-cba-configuration-checklist"/>
    <w:p>
      <w:pPr>
        <w:pStyle w:val="Heading2"/>
      </w:pPr>
      <w:r>
        <w:t xml:space="preserve">A.2 Entra CBA configuration checklist</w:t>
      </w:r>
    </w:p>
    <w:p>
      <w:pPr>
        <w:pStyle w:val="FirstParagraph"/>
      </w:pPr>
      <w:r>
        <w:t xml:space="preserve">Work through the steps in order.</w:t>
      </w:r>
    </w:p>
    <w:p>
      <w:pPr>
        <w:pStyle w:val="TableCaption"/>
      </w:pPr>
      <w:r>
        <w:t xml:space="preserve">Entra CBA configuration checklist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tblCaption w:val="Entra CBA configuration checklist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#</w:t>
            </w:r>
          </w:p>
        </w:tc>
        <w:tc>
          <w:tcPr/>
          <w:p>
            <w:pPr>
              <w:pStyle w:val="Compact"/>
            </w:pPr>
            <w:r>
              <w:t xml:space="preserve">Step</w:t>
            </w:r>
          </w:p>
        </w:tc>
        <w:tc>
          <w:tcPr/>
          <w:p>
            <w:pPr>
              <w:pStyle w:val="Compact"/>
            </w:pPr>
            <w:r>
              <w:t xml:space="preserve">Detail</w:t>
            </w:r>
          </w:p>
        </w:tc>
        <w:tc>
          <w:tcPr/>
          <w:p>
            <w:pPr>
              <w:pStyle w:val="Compact"/>
            </w:pPr>
            <w:r>
              <w:t xml:space="preserve">Verification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Confirm licensing</w:t>
            </w:r>
          </w:p>
        </w:tc>
        <w:tc>
          <w:tcPr/>
          <w:p>
            <w:pPr>
              <w:pStyle w:val="Compact"/>
            </w:pPr>
            <w:r>
              <w:t xml:space="preserve">CBA itself doesn’t need a premium license, but Conditional Access needs Entra ID P1, and the PKI-based trust store’s bulk</w:t>
            </w:r>
            <w:r>
              <w:t xml:space="preserve"> </w:t>
            </w:r>
            <w:r>
              <w:rPr>
                <w:rStyle w:val="VerbatimChar"/>
              </w:rPr>
              <w:t xml:space="preserve">.p7b</w:t>
            </w:r>
            <w:r>
              <w:t xml:space="preserve"> </w:t>
            </w:r>
            <w:r>
              <w:t xml:space="preserve">upload needs P1 or P2.</w:t>
            </w:r>
            <w:r>
              <w:rPr>
                <w:rStyle w:val="FootnoteReference"/>
              </w:rPr>
              <w:footnoteReference w:id="50"/>
            </w:r>
            <w:r>
              <w:rPr>
                <w:rStyle w:val="FootnoteReference"/>
              </w:rPr>
              <w:footnoteReference w:id="52"/>
            </w:r>
            <w:r>
              <w:t xml:space="preserve"> </w:t>
            </w:r>
            <w:r>
              <w:t xml:space="preserve">The guide’s mention of P2 for PIM doesn’t apply to CBA.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Get-MgSubscribedSku \| Where-Object { $_.ServicePlans.ServicePlanName -contains 'AAD_PREMIUM' }</w:t>
            </w:r>
            <w:r>
              <w:t xml:space="preserve"> </w:t>
            </w:r>
            <w:r>
              <w:t xml:space="preserve">returns a SKU whose</w:t>
            </w:r>
            <w:r>
              <w:t xml:space="preserve"> </w:t>
            </w:r>
            <w:r>
              <w:rPr>
                <w:rStyle w:val="VerbatimChar"/>
              </w:rPr>
              <w:t xml:space="preserve">CapabilityStatus</w:t>
            </w:r>
            <w:r>
              <w:t xml:space="preserve"> </w:t>
            </w:r>
            <w:r>
              <w:t xml:space="preserve">is</w:t>
            </w:r>
            <w:r>
              <w:t xml:space="preserve"> </w:t>
            </w:r>
            <w:r>
              <w:rPr>
                <w:rStyle w:val="VerbatimChar"/>
              </w:rPr>
              <w:t xml:space="preserve">Enabled</w:t>
            </w:r>
            <w:r>
              <w:t xml:space="preserve"> </w:t>
            </w:r>
            <w:r>
              <w:t xml:space="preserve">(this also catches bundles such as Microsoft 365 E3 and E5)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Confirm the user-to-certificate write path</w:t>
            </w:r>
          </w:p>
        </w:tc>
        <w:tc>
          <w:tcPr/>
          <w:p>
            <w:pPr>
              <w:pStyle w:val="Compact"/>
            </w:pPr>
            <w:r>
              <w:t xml:space="preserve">Cloud-only users:</w:t>
            </w:r>
            <w:r>
              <w:t xml:space="preserve"> </w:t>
            </w:r>
            <w:r>
              <w:rPr>
                <w:rStyle w:val="VerbatimChar"/>
              </w:rPr>
              <w:t xml:space="preserve">certificateUserIds</w:t>
            </w:r>
            <w:r>
              <w:t xml:space="preserve"> </w:t>
            </w:r>
            <w:r>
              <w:t xml:space="preserve">written through the admin center or Microsoft Graph. Synced users: only Entra Connect writes it, from</w:t>
            </w:r>
            <w:r>
              <w:t xml:space="preserve"> </w:t>
            </w:r>
            <w:r>
              <w:rPr>
                <w:rStyle w:val="VerbatimChar"/>
              </w:rPr>
              <w:t xml:space="preserve">altSecurityIdentities</w:t>
            </w:r>
            <w:r>
              <w:t xml:space="preserve"> </w:t>
            </w:r>
            <w:r>
              <w:t xml:space="preserve">or sync rules (</w:t>
            </w:r>
            <w:hyperlink r:id="rId54">
              <w:r>
                <w:rPr>
                  <w:rStyle w:val="Hyperlink"/>
                </w:rPr>
                <w:t xml:space="preserve">Book 03, Chapter 09</w:t>
              </w:r>
            </w:hyperlink>
            <w:r>
              <w:t xml:space="preserve">).</w:t>
            </w:r>
            <w:r>
              <w:rPr>
                <w:rStyle w:val="FootnoteReference"/>
              </w:rPr>
              <w:footnoteReference w:id="55"/>
            </w:r>
          </w:p>
        </w:tc>
        <w:tc>
          <w:tcPr/>
          <w:p>
            <w:pPr>
              <w:pStyle w:val="Compact"/>
            </w:pPr>
            <w:r>
              <w:t xml:space="preserve">A test user’s</w:t>
            </w:r>
            <w:r>
              <w:t xml:space="preserve"> </w:t>
            </w:r>
            <w:r>
              <w:rPr>
                <w:rStyle w:val="VerbatimChar"/>
              </w:rPr>
              <w:t xml:space="preserve">certificateUserIds</w:t>
            </w:r>
            <w:r>
              <w:t xml:space="preserve"> </w:t>
            </w:r>
            <w:r>
              <w:t xml:space="preserve">holds the expected value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Export the CA certificates</w:t>
            </w:r>
          </w:p>
        </w:tc>
        <w:tc>
          <w:tcPr/>
          <w:p>
            <w:pPr>
              <w:pStyle w:val="Compact"/>
            </w:pPr>
            <w:r>
              <w:t xml:space="preserve">Root and every intermediate and issuing CA in the user-certificate chain.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certutil -dump &lt;file&gt;.cer</w:t>
            </w:r>
            <w:r>
              <w:t xml:space="preserve"> </w:t>
            </w:r>
            <w:r>
              <w:t xml:space="preserve">shows the expected subject, validity and key usage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Open the network path</w:t>
            </w:r>
          </w:p>
        </w:tc>
        <w:tc>
          <w:tcPr/>
          <w:p>
            <w:pPr>
              <w:pStyle w:val="Compact"/>
            </w:pPr>
            <w:r>
              <w:t xml:space="preserve">Allow</w:t>
            </w:r>
            <w:r>
              <w:t xml:space="preserve"> </w:t>
            </w:r>
            <w:r>
              <w:rPr>
                <w:rStyle w:val="VerbatimChar"/>
              </w:rPr>
              <w:t xml:space="preserve">*.certauth.login.microsoftonline.com</w:t>
            </w:r>
            <w:r>
              <w:t xml:space="preserve"> </w:t>
            </w:r>
            <w:r>
              <w:t xml:space="preserve">(Azure Government:</w:t>
            </w:r>
            <w:r>
              <w:t xml:space="preserve"> </w:t>
            </w:r>
            <w:r>
              <w:rPr>
                <w:rStyle w:val="VerbatimChar"/>
              </w:rPr>
              <w:t xml:space="preserve">*.certauth.login.microsoftonline.us</w:t>
            </w:r>
            <w:r>
              <w:t xml:space="preserve">) and turn off TLS inspection for it.</w:t>
            </w:r>
            <w:r>
              <w:rPr>
                <w:rStyle w:val="FootnoteReference"/>
              </w:rPr>
              <w:footnoteReference w:id="56"/>
            </w:r>
          </w:p>
        </w:tc>
        <w:tc>
          <w:tcPr/>
          <w:p>
            <w:pPr>
              <w:pStyle w:val="Compact"/>
            </w:pPr>
            <w:r>
              <w:t xml:space="preserve">A test client completes the certificate prompt through the production proxy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Create the PKI-based trust store and add CAs</w:t>
            </w:r>
          </w:p>
        </w:tc>
        <w:tc>
          <w:tcPr/>
          <w:p>
            <w:pPr>
              <w:pStyle w:val="Compact"/>
            </w:pPr>
            <w:r>
              <w:t xml:space="preserve">As at least Privileged Authentication Administrator: create a PKI container, add each CA (marking roots), with the base CRL URL and, if published, the delta CRL URL.</w:t>
            </w:r>
            <w:r>
              <w:rPr>
                <w:rStyle w:val="FootnoteReference"/>
              </w:rPr>
              <w:footnoteReference w:id="58"/>
            </w:r>
            <w:r>
              <w:t xml:space="preserve"> </w:t>
            </w:r>
            <w:r>
              <w:t xml:space="preserve">Prefer the PKI-based store over the classic store.</w:t>
            </w:r>
            <w:r>
              <w:rPr>
                <w:rStyle w:val="FootnoteReference"/>
              </w:rPr>
              <w:footnoteReference w:id="59"/>
            </w:r>
          </w:p>
        </w:tc>
        <w:tc>
          <w:tcPr/>
          <w:p>
            <w:pPr>
              <w:pStyle w:val="Compact"/>
            </w:pPr>
            <w:r>
              <w:t xml:space="preserve">The admin center lists each CA with its CRL URLs; for automation,</w:t>
            </w:r>
            <w:r>
              <w:t xml:space="preserve"> </w:t>
            </w:r>
            <w:r>
              <w:rPr>
                <w:rStyle w:val="VerbatimChar"/>
              </w:rPr>
              <w:t xml:space="preserve">GET https://graph.microsoft.com/beta/directory/publicKeyInfrastructure/certificateBasedAuthConfigurations</w:t>
            </w:r>
            <w:r>
              <w:t xml:space="preserve"> </w:t>
            </w:r>
            <w:r>
              <w:t xml:space="preserve">returns the PKI</w:t>
            </w:r>
            <w:r>
              <w:rPr>
                <w:rStyle w:val="FootnoteReference"/>
              </w:rPr>
              <w:footnoteReference w:id="60"/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Verify CRL reachability and size</w:t>
            </w:r>
          </w:p>
        </w:tc>
        <w:tc>
          <w:tcPr/>
          <w:p>
            <w:pPr>
              <w:pStyle w:val="Compact"/>
            </w:pPr>
            <w:r>
              <w:t xml:space="preserve">Each CRL URL must be an internet-reachable HTTP (recommended) or HTTPS URL, downloadable in 10 seconds, within 20 MB (commercial and GCC) or 45 MB (Azure Government) for interactive sign-in. Entra ID doesn’t support OCSP.</w:t>
            </w:r>
            <w:r>
              <w:rPr>
                <w:rStyle w:val="FootnoteReference"/>
              </w:rPr>
              <w:footnoteReference w:id="61"/>
            </w:r>
          </w:p>
        </w:tc>
        <w:tc>
          <w:tcPr/>
          <w:p>
            <w:pPr>
              <w:pStyle w:val="Compact"/>
            </w:pPr>
            <w:r>
              <w:t xml:space="preserve">From an external network,</w:t>
            </w:r>
            <w:r>
              <w:t xml:space="preserve"> </w:t>
            </w:r>
            <w:r>
              <w:rPr>
                <w:rStyle w:val="VerbatimChar"/>
              </w:rPr>
              <w:t xml:space="preserve">Invoke-WebRequest -Uri &lt;crl-url&gt; -Method Head</w:t>
            </w:r>
            <w:r>
              <w:t xml:space="preserve"> </w:t>
            </w:r>
            <w:r>
              <w:t xml:space="preserve">returns HTTP 200; file size within the limit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Require CRL validation</w:t>
            </w:r>
          </w:p>
        </w:tc>
        <w:tc>
          <w:tcPr/>
          <w:p>
            <w:pPr>
              <w:pStyle w:val="Compact"/>
            </w:pPr>
            <w:r>
              <w:t xml:space="preserve">Turn on Require CRL validation; exempt a CA only while its CRL is being fixed.</w:t>
            </w:r>
            <w:r>
              <w:rPr>
                <w:rStyle w:val="FootnoteReference"/>
              </w:rPr>
              <w:footnoteReference w:id="63"/>
            </w:r>
          </w:p>
        </w:tc>
        <w:tc>
          <w:tcPr/>
          <w:p>
            <w:pPr>
              <w:pStyle w:val="Compact"/>
            </w:pPr>
            <w:r>
              <w:t xml:space="preserve">Setting shows on; exemption list empty or dated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Scope CAs if several PKIs serve different users</w:t>
            </w:r>
          </w:p>
        </w:tc>
        <w:tc>
          <w:tcPr/>
          <w:p>
            <w:pPr>
              <w:pStyle w:val="Compact"/>
            </w:pPr>
            <w:r>
              <w:t xml:space="preserve">CA scoping ties a CA to one group; one group per CA, up to 30 rules.</w:t>
            </w:r>
            <w:r>
              <w:rPr>
                <w:rStyle w:val="FootnoteReference"/>
              </w:rPr>
              <w:footnoteReference w:id="64"/>
            </w:r>
          </w:p>
        </w:tc>
        <w:tc>
          <w:tcPr/>
          <w:p>
            <w:pPr>
              <w:pStyle w:val="Compact"/>
            </w:pPr>
            <w:r>
              <w:t xml:space="preserve">Scoping rules match the population plan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Create the pilot groups</w:t>
            </w:r>
          </w:p>
        </w:tc>
        <w:tc>
          <w:tcPr/>
          <w:p>
            <w:pPr>
              <w:pStyle w:val="Compact"/>
            </w:pPr>
            <w:r>
              <w:t xml:space="preserve">Cloud security groups, ten to twenty users covering each certificate type, platform and CA. Use separate groups for the CBA method and for staged rollout; staged rollout doesn’t support nested or dynamic groups.</w:t>
            </w:r>
            <w:r>
              <w:rPr>
                <w:rStyle w:val="FootnoteReference"/>
              </w:rPr>
              <w:footnoteReference w:id="65"/>
            </w:r>
            <w:r>
              <w:rPr>
                <w:rStyle w:val="FootnoteReference"/>
              </w:rPr>
              <w:footnoteReference w:id="67"/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Get-MgGroup -Filter "displayName eq 'CBA-Pilot-Users'"</w:t>
            </w:r>
            <w:r>
              <w:t xml:space="preserve"> </w:t>
            </w:r>
            <w:r>
              <w:t xml:space="preserve">returns the group with members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Enable the CBA method for the pilot group only</w:t>
            </w:r>
          </w:p>
        </w:tc>
        <w:tc>
          <w:tcPr/>
          <w:p>
            <w:pPr>
              <w:pStyle w:val="Compact"/>
            </w:pPr>
            <w:r>
              <w:t xml:space="preserve">As at least Authentication Policy Administrator, under Entra ID &gt; Authentication methods &gt; Certificate-based authentication. Never All users: a user in scope is treated as MFA-capable and can’t register other methods without satisfying MFA.</w:t>
            </w:r>
            <w:r>
              <w:rPr>
                <w:rStyle w:val="FootnoteReference"/>
              </w:rPr>
              <w:footnoteReference w:id="69"/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Get-MgPolicyAuthenticationMethodPolicyAuthenticationMethodConfiguration -AuthenticationMethodConfigurationId 'X509Certificate'</w:t>
            </w:r>
            <w:r>
              <w:t xml:space="preserve"> </w:t>
            </w:r>
            <w:r>
              <w:t xml:space="preserve">shows state enabled and the pilot group as target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Configure username bindings</w:t>
            </w:r>
          </w:p>
        </w:tc>
        <w:tc>
          <w:tcPr/>
          <w:p>
            <w:pPr>
              <w:pStyle w:val="Compact"/>
            </w:pPr>
            <w:r>
              <w:t xml:space="preserve">Order is priority. Put high-affinity bindings (</w:t>
            </w:r>
            <w:r>
              <w:rPr>
                <w:rStyle w:val="VerbatimChar"/>
              </w:rPr>
              <w:t xml:space="preserve">IssuerAndSerialNumber</w:t>
            </w:r>
            <w:r>
              <w:t xml:space="preserve"> </w:t>
            </w:r>
            <w:r>
              <w:t xml:space="preserve">or</w:t>
            </w:r>
            <w:r>
              <w:t xml:space="preserve"> </w:t>
            </w:r>
            <w:r>
              <w:rPr>
                <w:rStyle w:val="VerbatimChar"/>
              </w:rPr>
              <w:t xml:space="preserve">SKI</w:t>
            </w:r>
            <w:r>
              <w:t xml:space="preserve"> </w:t>
            </w:r>
            <w:r>
              <w:t xml:space="preserve">to</w:t>
            </w:r>
            <w:r>
              <w:t xml:space="preserve"> </w:t>
            </w:r>
            <w:r>
              <w:rPr>
                <w:rStyle w:val="VerbatimChar"/>
              </w:rPr>
              <w:t xml:space="preserve">certificateUserIds</w:t>
            </w:r>
            <w:r>
              <w:t xml:space="preserve">) first; keep at most one low-affinity binding. Priority isn’t shown in the admin center; Graph returns it.</w:t>
            </w:r>
            <w:r>
              <w:rPr>
                <w:rStyle w:val="FootnoteReference"/>
              </w:rPr>
              <w:footnoteReference w:id="70"/>
            </w:r>
            <w:r>
              <w:t xml:space="preserve"> </w:t>
            </w:r>
            <w:r>
              <w:t xml:space="preserve">The guide classed Issuer + Subject as high affinity; Microsoft classes it as low.</w:t>
            </w:r>
            <w:r>
              <w:rPr>
                <w:rStyle w:val="FootnoteReference"/>
              </w:rPr>
              <w:footnoteReference w:id="71"/>
            </w:r>
          </w:p>
        </w:tc>
        <w:tc>
          <w:tcPr/>
          <w:p>
            <w:pPr>
              <w:pStyle w:val="Compact"/>
            </w:pPr>
            <w:r>
              <w:t xml:space="preserve">The</w:t>
            </w:r>
            <w:r>
              <w:t xml:space="preserve"> </w:t>
            </w:r>
            <w:r>
              <w:rPr>
                <w:rStyle w:val="VerbatimChar"/>
              </w:rPr>
              <w:t xml:space="preserve">certificateUserBindings</w:t>
            </w:r>
            <w:r>
              <w:t xml:space="preserve"> </w:t>
            </w:r>
            <w:r>
              <w:t xml:space="preserve">in the method configuration returned by Graph list fields and priorities as intended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Configure authentication bindings</w:t>
            </w:r>
          </w:p>
        </w:tc>
        <w:tc>
          <w:tcPr/>
          <w:p>
            <w:pPr>
              <w:pStyle w:val="Compact"/>
            </w:pPr>
            <w:r>
              <w:t xml:space="preserve">Default single-factor; multifactor by rule for certificates protected by a PIN or biometric (for example PIV), by issuer, policy OID, or both. Issuer-and-OID rules beat OID rules, which beat issuer rules.</w:t>
            </w:r>
            <w:r>
              <w:rPr>
                <w:rStyle w:val="FootnoteReference"/>
              </w:rPr>
              <w:footnoteReference w:id="72"/>
            </w:r>
            <w:r>
              <w:rPr>
                <w:rStyle w:val="FootnoteReference"/>
              </w:rPr>
              <w:footnoteReference w:id="73"/>
            </w:r>
          </w:p>
        </w:tc>
        <w:tc>
          <w:tcPr/>
          <w:p>
            <w:pPr>
              <w:pStyle w:val="Compact"/>
            </w:pPr>
            <w:r>
              <w:t xml:space="preserve">A pilot sign-in’s log shows the expected User certificate authentication level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Turn on password hash sync if it isn’t on</w:t>
            </w:r>
          </w:p>
        </w:tc>
        <w:tc>
          <w:tcPr/>
          <w:p>
            <w:pPr>
              <w:pStyle w:val="Compact"/>
            </w:pPr>
            <w:r>
              <w:t xml:space="preserve">For a CBA staged rollout, password sign-in for those users works only with password hash sync.</w:t>
            </w:r>
            <w:r>
              <w:rPr>
                <w:rStyle w:val="FootnoteReference"/>
              </w:rPr>
              <w:footnoteReference w:id="74"/>
            </w:r>
          </w:p>
        </w:tc>
        <w:tc>
          <w:tcPr/>
          <w:p>
            <w:pPr>
              <w:pStyle w:val="Compact"/>
            </w:pPr>
            <w:r>
              <w:t xml:space="preserve">Entra Connect shows password hash sync enabled and current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Enable staged rollout for certificate-based authentication</w:t>
            </w:r>
          </w:p>
        </w:tc>
        <w:tc>
          <w:tcPr/>
          <w:p>
            <w:pPr>
              <w:pStyle w:val="Compact"/>
            </w:pPr>
            <w:r>
              <w:t xml:space="preserve">As at least Hybrid Identity Administrator, under Entra ID &gt; Entra Connect &gt; Connect sync &gt; Enable staged rollout for managed user sign-in. Up to 10 groups per feature; 200 users when a group is first added; later membership changes take up to 24 hours. Synced users only.</w:t>
            </w:r>
            <w:r>
              <w:rPr>
                <w:rStyle w:val="FootnoteReference"/>
              </w:rPr>
              <w:footnoteReference w:id="75"/>
            </w:r>
          </w:p>
        </w:tc>
        <w:tc>
          <w:tcPr/>
          <w:p>
            <w:pPr>
              <w:pStyle w:val="Compact"/>
            </w:pPr>
            <w:r>
              <w:t xml:space="preserve">The staged rollout page lists the pilot groups for certificate-based authentication; via Graph,</w:t>
            </w:r>
            <w:r>
              <w:t xml:space="preserve"> </w:t>
            </w:r>
            <w:r>
              <w:rPr>
                <w:rStyle w:val="VerbatimChar"/>
              </w:rPr>
              <w:t xml:space="preserve">Get-MgPolicyFeatureRolloutPolicy</w:t>
            </w:r>
            <w:r>
              <w:t xml:space="preserve"> </w:t>
            </w:r>
            <w:r>
              <w:t xml:space="preserve">shows a policy whose feature is</w:t>
            </w:r>
            <w:r>
              <w:t xml:space="preserve"> </w:t>
            </w:r>
            <w:r>
              <w:rPr>
                <w:rStyle w:val="VerbatimChar"/>
              </w:rPr>
              <w:t xml:space="preserve">certificateBasedAuthentication</w:t>
            </w:r>
            <w:r>
              <w:t xml:space="preserve"> </w:t>
            </w:r>
            <w:r>
              <w:t xml:space="preserve">(an evolvable enum value, returned only with the</w:t>
            </w:r>
            <w:r>
              <w:t xml:space="preserve"> </w:t>
            </w:r>
            <w:r>
              <w:rPr>
                <w:rStyle w:val="VerbatimChar"/>
              </w:rPr>
              <w:t xml:space="preserve">Prefer: include-unknown-enum-members</w:t>
            </w:r>
            <w:r>
              <w:t xml:space="preserve"> </w:t>
            </w:r>
            <w:r>
              <w:t xml:space="preserve">header)</w:t>
            </w:r>
            <w:r>
              <w:rPr>
                <w:rStyle w:val="FootnoteReference"/>
              </w:rPr>
              <w:footnoteReference w:id="76"/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Sign in each pilot user once</w:t>
            </w:r>
          </w:p>
        </w:tc>
        <w:tc>
          <w:tcPr/>
          <w:p>
            <w:pPr>
              <w:pStyle w:val="Compact"/>
            </w:pPr>
            <w:r>
              <w:t xml:space="preserve">Issue a Temporary Access Pass right after adding the user to staged rollout, so the first sign-in doesn’t fall back to the federation server.</w:t>
            </w:r>
            <w:r>
              <w:rPr>
                <w:rStyle w:val="FootnoteReference"/>
              </w:rPr>
              <w:footnoteReference w:id="78"/>
            </w:r>
          </w:p>
        </w:tc>
        <w:tc>
          <w:tcPr/>
          <w:p>
            <w:pPr>
              <w:pStyle w:val="Compact"/>
            </w:pPr>
            <w:r>
              <w:t xml:space="preserve">User reaches the Entra ID sign-in page, not AD FS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Test CBA sign-in</w:t>
            </w:r>
          </w:p>
        </w:tc>
        <w:tc>
          <w:tcPr/>
          <w:p>
            <w:pPr>
              <w:pStyle w:val="Compact"/>
            </w:pPr>
            <w:r>
              <w:t xml:space="preserve">Pilot user signs in at the My Apps portal and chooses</w:t>
            </w:r>
            <w:r>
              <w:t xml:space="preserve"> </w:t>
            </w:r>
            <w:r>
              <w:rPr>
                <w:b/>
                <w:bCs/>
              </w:rPr>
              <w:t xml:space="preserve">Use a certificate or smart card</w:t>
            </w:r>
            <w:r>
              <w:t xml:space="preserve">.</w:t>
            </w:r>
            <w:r>
              <w:rPr>
                <w:rStyle w:val="FootnoteReference"/>
              </w:rPr>
              <w:footnoteReference w:id="79"/>
            </w:r>
          </w:p>
        </w:tc>
        <w:tc>
          <w:tcPr/>
          <w:p>
            <w:pPr>
              <w:pStyle w:val="Compact"/>
            </w:pPr>
            <w:r>
              <w:t xml:space="preserve">Sign-in log: success; Additional Details show the certificate binding used and the authentication level.</w:t>
            </w:r>
            <w:r>
              <w:rPr>
                <w:rStyle w:val="FootnoteReference"/>
              </w:rPr>
              <w:footnoteReference w:id="80"/>
            </w:r>
            <w:r>
              <w:t xml:space="preserve"> </w:t>
            </w:r>
            <w:r>
              <w:t xml:space="preserve">(The guide’s token check for</w:t>
            </w:r>
            <w:r>
              <w:t xml:space="preserve"> </w:t>
            </w:r>
            <w:r>
              <w:rPr>
                <w:rStyle w:val="VerbatimChar"/>
              </w:rPr>
              <w:t xml:space="preserve">"amr": ["x509"]</w:t>
            </w:r>
            <w:r>
              <w:t xml:space="preserve"> </w:t>
            </w:r>
            <w:r>
              <w:t xml:space="preserve">isn’t a documented test; use the sign-in log.)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Expand in steps</w:t>
            </w:r>
          </w:p>
        </w:tc>
        <w:tc>
          <w:tcPr/>
          <w:p>
            <w:pPr>
              <w:pStyle w:val="Compact"/>
            </w:pPr>
            <w:r>
              <w:t xml:space="preserve">Add populations as the sign-in data supports, within staged rollout’s limits; the program’s gate is below 1% CBA failure before the next step. Staged rollout isn’t for permanent coexistence; plan the domain cutover.</w:t>
            </w:r>
            <w:r>
              <w:rPr>
                <w:rStyle w:val="FootnoteReference"/>
              </w:rPr>
              <w:footnoteReference w:id="81"/>
            </w:r>
          </w:p>
        </w:tc>
        <w:tc>
          <w:tcPr/>
          <w:p>
            <w:pPr>
              <w:pStyle w:val="Compact"/>
            </w:pPr>
            <w:r>
              <w:t xml:space="preserve">Sign-in log failure rate per step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Require high affinity tenant-wide</w:t>
            </w:r>
          </w:p>
        </w:tc>
        <w:tc>
          <w:tcPr/>
          <w:p>
            <w:pPr>
              <w:pStyle w:val="Compact"/>
            </w:pPr>
            <w:r>
              <w:t xml:space="preserve">Only after every in-scope user’s</w:t>
            </w:r>
            <w:r>
              <w:t xml:space="preserve"> </w:t>
            </w:r>
            <w:r>
              <w:rPr>
                <w:rStyle w:val="VerbatimChar"/>
              </w:rPr>
              <w:t xml:space="preserve">certificateUserIds</w:t>
            </w:r>
            <w:r>
              <w:t xml:space="preserve"> </w:t>
            </w:r>
            <w:r>
              <w:t xml:space="preserve">holds correct values; a premature change locks users out.</w:t>
            </w:r>
            <w:r>
              <w:rPr>
                <w:rStyle w:val="FootnoteReference"/>
              </w:rPr>
              <w:footnoteReference w:id="82"/>
            </w:r>
          </w:p>
        </w:tc>
        <w:tc>
          <w:tcPr/>
          <w:p>
            <w:pPr>
              <w:pStyle w:val="Compact"/>
            </w:pPr>
            <w:r>
              <w:t xml:space="preserve">Test users with and without high-affinity values behave as expected in a test tenant first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Record the federation configuration</w:t>
            </w:r>
          </w:p>
        </w:tc>
        <w:tc>
          <w:tcPr/>
          <w:p>
            <w:pPr>
              <w:pStyle w:val="Compact"/>
            </w:pPr>
            <w:r>
              <w:t xml:space="preserve">Before conversion, capture it and back up AD FS.</w:t>
            </w:r>
            <w:r>
              <w:rPr>
                <w:rStyle w:val="FootnoteReference"/>
              </w:rPr>
              <w:footnoteReference w:id="83"/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Get-MgDomainFederationConfiguration -DomainId &lt;domain&gt; \| ConvertTo-Json \| Out-File adfs-federation-backup.json</w:t>
            </w:r>
            <w:r>
              <w:t xml:space="preserve">; AD FS farm backup present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Convert the domain to managed</w:t>
            </w:r>
          </w:p>
        </w:tc>
        <w:tc>
          <w:tcPr/>
          <w:p>
            <w:pPr>
              <w:pStyle w:val="Compact"/>
            </w:pPr>
            <w:r>
              <w:t xml:space="preserve">Start with a test domain or the smallest; rollback is re-federation with</w:t>
            </w:r>
            <w:r>
              <w:t xml:space="preserve"> </w:t>
            </w:r>
            <w:r>
              <w:rPr>
                <w:rStyle w:val="VerbatimChar"/>
              </w:rPr>
              <w:t xml:space="preserve">New-MgDomainFederationConfiguration</w:t>
            </w:r>
            <w:r>
              <w:t xml:space="preserve">.</w:t>
            </w:r>
            <w:r>
              <w:rPr>
                <w:rStyle w:val="FootnoteReference"/>
              </w:rPr>
              <w:footnoteReference w:id="85"/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Update-MgDomain -DomainId &lt;domain&gt; -AuthenticationType "Managed"</w:t>
            </w:r>
            <w:r>
              <w:t xml:space="preserve">, then</w:t>
            </w:r>
            <w:r>
              <w:t xml:space="preserve"> </w:t>
            </w:r>
            <w:r>
              <w:rPr>
                <w:rStyle w:val="VerbatimChar"/>
              </w:rPr>
              <w:t xml:space="preserve">Get-MgDomain -DomainId &lt;domain&gt;</w:t>
            </w:r>
            <w:r>
              <w:t xml:space="preserve"> </w:t>
            </w:r>
            <w:r>
              <w:t xml:space="preserve">shows</w:t>
            </w:r>
            <w:r>
              <w:t xml:space="preserve"> </w:t>
            </w:r>
            <w:r>
              <w:rPr>
                <w:rStyle w:val="VerbatimChar"/>
              </w:rPr>
              <w:t xml:space="preserve">AuthenticationType</w:t>
            </w:r>
            <w:r>
              <w:t xml:space="preserve"> </w:t>
            </w:r>
            <w:r>
              <w:t xml:space="preserve">Managed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Turn off AD FS certificate authentication</w:t>
            </w:r>
          </w:p>
        </w:tc>
        <w:tc>
          <w:tcPr/>
          <w:p>
            <w:pPr>
              <w:pStyle w:val="Compact"/>
            </w:pPr>
            <w:r>
              <w:t xml:space="preserve">For relying parties that remain on AD FS.</w:t>
            </w:r>
          </w:p>
        </w:tc>
        <w:tc>
          <w:tcPr/>
          <w:p>
            <w:pPr>
              <w:pStyle w:val="Compact"/>
            </w:pPr>
            <w:r>
              <w:t xml:space="preserve">Users are no longer sent to AD FS for certificate sign-in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Remove staged rollout groups</w:t>
            </w:r>
          </w:p>
        </w:tc>
        <w:tc>
          <w:tcPr/>
          <w:p>
            <w:pPr>
              <w:pStyle w:val="Compact"/>
            </w:pPr>
            <w:r>
              <w:t xml:space="preserve">After conversion. Users who signed in to Windows with a certificate stay enabled for the CBA method long enough to refresh their primary refresh token.</w:t>
            </w:r>
            <w:r>
              <w:rPr>
                <w:rStyle w:val="FootnoteReference"/>
              </w:rPr>
              <w:footnoteReference w:id="86"/>
            </w:r>
          </w:p>
        </w:tc>
        <w:tc>
          <w:tcPr/>
          <w:p>
            <w:pPr>
              <w:pStyle w:val="Compact"/>
            </w:pPr>
            <w:r>
              <w:t xml:space="preserve">No groups assigned to the certificate-based authentication feature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Require phishing-resistant strength in Conditional Access</w:t>
            </w:r>
          </w:p>
        </w:tc>
        <w:tc>
          <w:tcPr/>
          <w:p>
            <w:pPr>
              <w:pStyle w:val="Compact"/>
            </w:pPr>
            <w:r>
              <w:t xml:space="preserve">Use the built-in Phishing-resistant MFA strength, or a custom strength that allows CBA (single-factor, multifactor or both, optionally by issuer or policy OID) for sensitive applications, with a device compliance requirement where needed.</w:t>
            </w:r>
            <w:r>
              <w:rPr>
                <w:rStyle w:val="FootnoteReference"/>
              </w:rPr>
              <w:footnoteReference w:id="87"/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Get-MgIdentityConditionalAccessPolicy</w:t>
            </w:r>
            <w:r>
              <w:t xml:space="preserve"> </w:t>
            </w:r>
            <w:r>
              <w:t xml:space="preserve">shows the policy enabled and targeting the intended apps and users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Monitor and alert</w:t>
            </w:r>
          </w:p>
        </w:tc>
        <w:tc>
          <w:tcPr/>
          <w:p>
            <w:pPr>
              <w:pStyle w:val="Compact"/>
            </w:pPr>
            <w:r>
              <w:t xml:space="preserve">Send sign-in logs to the log workspace; alert on CBA failures (the program’s starting threshold: more than five in 15 minutes) and on CRL errors such as AADSTS500173 and AADSTS2205012.</w:t>
            </w:r>
            <w:r>
              <w:rPr>
                <w:rStyle w:val="FootnoteReference"/>
              </w:rPr>
              <w:footnoteReference w:id="88"/>
            </w:r>
          </w:p>
        </w:tc>
        <w:tc>
          <w:tcPr/>
          <w:p>
            <w:pPr>
              <w:pStyle w:val="Compact"/>
            </w:pPr>
            <w:r>
              <w:t xml:space="preserve">A test sign-in with an expired certificate raises the alert in the configured window</w:t>
            </w:r>
          </w:p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9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9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Continue the book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hyperlink r:id="rId48">
              <w:r>
                <w:rPr>
                  <w:rStyle w:val="Hyperlink"/>
                </w:rPr>
                <w:t xml:space="preserve">← Previous: Chapter 08 — Lifecycle, Monitoring and Decommissioning</w:t>
              </w:r>
            </w:hyperlink>
            <w:r>
              <w:t xml:space="preserve"> </w:t>
            </w:r>
            <w:r>
              <w:t xml:space="preserve">·</w:t>
            </w:r>
            <w:r>
              <w:t xml:space="preserve"> </w:t>
            </w:r>
            <w:hyperlink r:id="rId92">
              <w:r>
                <w:rPr>
                  <w:rStyle w:val="Hyperlink"/>
                </w:rPr>
                <w:t xml:space="preserve">Book index</w:t>
              </w:r>
            </w:hyperlink>
            <w:r>
              <w:t xml:space="preserve"> </w:t>
            </w:r>
            <w:r>
              <w:t xml:space="preserve">·</w:t>
            </w:r>
            <w:r>
              <w:t xml:space="preserve"> </w:t>
            </w:r>
            <w:hyperlink r:id="rId93">
              <w:r>
                <w:rPr>
                  <w:rStyle w:val="Hyperlink"/>
                </w:rPr>
                <w:t xml:space="preserve">Next: Appendix B — Certificate Template Migration Matrix →</w:t>
              </w:r>
            </w:hyperlink>
          </w:p>
          <w:p/>
        </w:tc>
      </w:tr>
    </w:tbl>
    <w:bookmarkEnd w:id="94"/>
    <w:bookmarkEnd w:id="9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  <w:footnote w:id="18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“Overview of Microsoft Cloud PKI for Microsoft Intune”</w:t>
      </w:r>
      <w:r>
        <w:t xml:space="preserve"> </w:t>
      </w:r>
      <w:r>
        <w:t xml:space="preserve">(prerequisites, features, trial, known issues and limitations),</w:t>
      </w:r>
      <w:r>
        <w:t xml:space="preserve"> </w:t>
      </w:r>
      <w:hyperlink r:id="rId19">
        <w:r>
          <w:rPr>
            <w:rStyle w:val="Hyperlink"/>
          </w:rPr>
          <w:t xml:space="preserve">https://learn.microsoft.com/intune/cloud-pki/</w:t>
        </w:r>
      </w:hyperlink>
      <w:r>
        <w:t xml:space="preserve"> </w:t>
      </w:r>
      <w:r>
        <w:t xml:space="preserve">(accessed Oct 20, 2026).</w:t>
      </w:r>
    </w:p>
  </w:footnote>
  <w:footnote w:id="20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“Microsoft Intune planning guide,”</w:t>
      </w:r>
      <w:r>
        <w:t xml:space="preserve"> </w:t>
      </w:r>
      <w:r>
        <w:t xml:space="preserve">Step 3, Determine costs and licensing,</w:t>
      </w:r>
      <w:r>
        <w:t xml:space="preserve"> </w:t>
      </w:r>
      <w:hyperlink r:id="rId21">
        <w:r>
          <w:rPr>
            <w:rStyle w:val="Hyperlink"/>
          </w:rPr>
          <w:t xml:space="preserve">https://learn.microsoft.com/intune/fundamentals/planning-guide#step-3---determine-costs-and-licensing</w:t>
        </w:r>
      </w:hyperlink>
      <w:r>
        <w:t xml:space="preserve">; and</w:t>
      </w:r>
      <w:r>
        <w:t xml:space="preserve"> </w:t>
      </w:r>
      <w:r>
        <w:t xml:space="preserve">“What’s new in Microsoft Intune,”</w:t>
      </w:r>
      <w:r>
        <w:t xml:space="preserve"> </w:t>
      </w:r>
      <w:r>
        <w:t xml:space="preserve">week of June 29, 2026,</w:t>
      </w:r>
      <w:r>
        <w:t xml:space="preserve"> </w:t>
      </w:r>
      <w:hyperlink r:id="rId22">
        <w:r>
          <w:rPr>
            <w:rStyle w:val="Hyperlink"/>
          </w:rPr>
          <w:t xml:space="preserve">https://learn.microsoft.com/intune/whats-new/</w:t>
        </w:r>
      </w:hyperlink>
      <w:r>
        <w:t xml:space="preserve"> </w:t>
      </w:r>
      <w:r>
        <w:t xml:space="preserve">(both accessed Oct 20, 2026).</w:t>
      </w:r>
    </w:p>
  </w:footnote>
  <w:footnote w:id="24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“Overview of Microsoft Cloud PKI for Microsoft Intune”</w:t>
      </w:r>
      <w:r>
        <w:t xml:space="preserve"> </w:t>
      </w:r>
      <w:r>
        <w:t xml:space="preserve">(prerequisites, features, trial, known issues and limitations),</w:t>
      </w:r>
      <w:r>
        <w:t xml:space="preserve"> </w:t>
      </w:r>
      <w:hyperlink r:id="rId19">
        <w:r>
          <w:rPr>
            <w:rStyle w:val="Hyperlink"/>
          </w:rPr>
          <w:t xml:space="preserve">https://learn.microsoft.com/intune/cloud-pki/</w:t>
        </w:r>
      </w:hyperlink>
      <w:r>
        <w:t xml:space="preserve"> </w:t>
      </w:r>
      <w:r>
        <w:t xml:space="preserve">(accessed Oct 20, 2026).</w:t>
      </w:r>
    </w:p>
  </w:footnote>
  <w:footnote w:id="25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“Configure Microsoft Cloud PKI - Bring your own CA,”</w:t>
      </w:r>
      <w:r>
        <w:t xml:space="preserve"> </w:t>
      </w:r>
      <w:hyperlink r:id="rId26">
        <w:r>
          <w:rPr>
            <w:rStyle w:val="Hyperlink"/>
          </w:rPr>
          <w:t xml:space="preserve">https://learn.microsoft.com/intune/cloud-pki/configure-byoca</w:t>
        </w:r>
      </w:hyperlink>
      <w:r>
        <w:t xml:space="preserve"> </w:t>
      </w:r>
      <w:r>
        <w:t xml:space="preserve">(accessed Oct 20, 2026).</w:t>
      </w:r>
    </w:p>
  </w:footnote>
  <w:footnote w:id="27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“Overview of Microsoft Cloud PKI for Microsoft Intune”</w:t>
      </w:r>
      <w:r>
        <w:t xml:space="preserve"> </w:t>
      </w:r>
      <w:r>
        <w:t xml:space="preserve">(prerequisites, features, trial, known issues and limitations),</w:t>
      </w:r>
      <w:r>
        <w:t xml:space="preserve"> </w:t>
      </w:r>
      <w:hyperlink r:id="rId19">
        <w:r>
          <w:rPr>
            <w:rStyle w:val="Hyperlink"/>
          </w:rPr>
          <w:t xml:space="preserve">https://learn.microsoft.com/intune/cloud-pki/</w:t>
        </w:r>
      </w:hyperlink>
      <w:r>
        <w:t xml:space="preserve"> </w:t>
      </w:r>
      <w:r>
        <w:t xml:space="preserve">(accessed Oct 20, 2026).</w:t>
      </w:r>
    </w:p>
  </w:footnote>
  <w:footnote w:id="28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“Configure Microsoft Cloud PKI - Bring your own CA,”</w:t>
      </w:r>
      <w:r>
        <w:t xml:space="preserve"> </w:t>
      </w:r>
      <w:hyperlink r:id="rId26">
        <w:r>
          <w:rPr>
            <w:rStyle w:val="Hyperlink"/>
          </w:rPr>
          <w:t xml:space="preserve">https://learn.microsoft.com/intune/cloud-pki/configure-byoca</w:t>
        </w:r>
      </w:hyperlink>
      <w:r>
        <w:t xml:space="preserve"> </w:t>
      </w:r>
      <w:r>
        <w:t xml:space="preserve">(accessed Oct 20, 2026).</w:t>
      </w:r>
    </w:p>
  </w:footnote>
  <w:footnote w:id="29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“Configure Microsoft Cloud PKI - Bring your own CA,”</w:t>
      </w:r>
      <w:r>
        <w:t xml:space="preserve"> </w:t>
      </w:r>
      <w:hyperlink r:id="rId26">
        <w:r>
          <w:rPr>
            <w:rStyle w:val="Hyperlink"/>
          </w:rPr>
          <w:t xml:space="preserve">https://learn.microsoft.com/intune/cloud-pki/configure-byoca</w:t>
        </w:r>
      </w:hyperlink>
      <w:r>
        <w:t xml:space="preserve"> </w:t>
      </w:r>
      <w:r>
        <w:t xml:space="preserve">(accessed Oct 20, 2026).</w:t>
      </w:r>
    </w:p>
  </w:footnote>
  <w:footnote w:id="30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“Configure Microsoft Cloud PKI - Bring your own CA,”</w:t>
      </w:r>
      <w:r>
        <w:t xml:space="preserve"> </w:t>
      </w:r>
      <w:hyperlink r:id="rId26">
        <w:r>
          <w:rPr>
            <w:rStyle w:val="Hyperlink"/>
          </w:rPr>
          <w:t xml:space="preserve">https://learn.microsoft.com/intune/cloud-pki/configure-byoca</w:t>
        </w:r>
      </w:hyperlink>
      <w:r>
        <w:t xml:space="preserve"> </w:t>
      </w:r>
      <w:r>
        <w:t xml:space="preserve">(accessed Oct 20, 2026).</w:t>
      </w:r>
    </w:p>
  </w:footnote>
  <w:footnote w:id="31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“Configure Microsoft Cloud PKI - Bring your own CA,”</w:t>
      </w:r>
      <w:r>
        <w:t xml:space="preserve"> </w:t>
      </w:r>
      <w:hyperlink r:id="rId26">
        <w:r>
          <w:rPr>
            <w:rStyle w:val="Hyperlink"/>
          </w:rPr>
          <w:t xml:space="preserve">https://learn.microsoft.com/intune/cloud-pki/configure-byoca</w:t>
        </w:r>
      </w:hyperlink>
      <w:r>
        <w:t xml:space="preserve"> </w:t>
      </w:r>
      <w:r>
        <w:t xml:space="preserve">(accessed Oct 20, 2026).</w:t>
      </w:r>
    </w:p>
  </w:footnote>
  <w:footnote w:id="32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“Configure Microsoft Cloud PKI - Bring your own CA,”</w:t>
      </w:r>
      <w:r>
        <w:t xml:space="preserve"> </w:t>
      </w:r>
      <w:hyperlink r:id="rId26">
        <w:r>
          <w:rPr>
            <w:rStyle w:val="Hyperlink"/>
          </w:rPr>
          <w:t xml:space="preserve">https://learn.microsoft.com/intune/cloud-pki/configure-byoca</w:t>
        </w:r>
      </w:hyperlink>
      <w:r>
        <w:t xml:space="preserve"> </w:t>
      </w:r>
      <w:r>
        <w:t xml:space="preserve">(accessed Oct 20, 2026).</w:t>
      </w:r>
    </w:p>
  </w:footnote>
  <w:footnote w:id="33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“Trusted root certificate profiles for Microsoft Intune,”</w:t>
      </w:r>
      <w:r>
        <w:t xml:space="preserve"> </w:t>
      </w:r>
      <w:hyperlink r:id="rId34">
        <w:r>
          <w:rPr>
            <w:rStyle w:val="Hyperlink"/>
          </w:rPr>
          <w:t xml:space="preserve">https://learn.microsoft.com/intune/device-configuration/certificates/trusted-root-profiles</w:t>
        </w:r>
      </w:hyperlink>
      <w:r>
        <w:t xml:space="preserve"> </w:t>
      </w:r>
      <w:r>
        <w:t xml:space="preserve">(accessed Oct 20, 2026).</w:t>
      </w:r>
    </w:p>
  </w:footnote>
  <w:footnote w:id="35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“Configure Microsoft Cloud PKI - Bring your own CA,”</w:t>
      </w:r>
      <w:r>
        <w:t xml:space="preserve"> </w:t>
      </w:r>
      <w:hyperlink r:id="rId26">
        <w:r>
          <w:rPr>
            <w:rStyle w:val="Hyperlink"/>
          </w:rPr>
          <w:t xml:space="preserve">https://learn.microsoft.com/intune/cloud-pki/configure-byoca</w:t>
        </w:r>
      </w:hyperlink>
      <w:r>
        <w:t xml:space="preserve"> </w:t>
      </w:r>
      <w:r>
        <w:t xml:space="preserve">(accessed Oct 20, 2026).</w:t>
      </w:r>
    </w:p>
  </w:footnote>
  <w:footnote w:id="36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“Trusted root certificate profiles for Microsoft Intune,”</w:t>
      </w:r>
      <w:r>
        <w:t xml:space="preserve"> </w:t>
      </w:r>
      <w:hyperlink r:id="rId34">
        <w:r>
          <w:rPr>
            <w:rStyle w:val="Hyperlink"/>
          </w:rPr>
          <w:t xml:space="preserve">https://learn.microsoft.com/intune/device-configuration/certificates/trusted-root-profiles</w:t>
        </w:r>
      </w:hyperlink>
      <w:r>
        <w:t xml:space="preserve"> </w:t>
      </w:r>
      <w:r>
        <w:t xml:space="preserve">(accessed Oct 20, 2026).</w:t>
      </w:r>
    </w:p>
  </w:footnote>
  <w:footnote w:id="37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“Trusted root certificate profiles for Microsoft Intune,”</w:t>
      </w:r>
      <w:r>
        <w:t xml:space="preserve"> </w:t>
      </w:r>
      <w:hyperlink r:id="rId34">
        <w:r>
          <w:rPr>
            <w:rStyle w:val="Hyperlink"/>
          </w:rPr>
          <w:t xml:space="preserve">https://learn.microsoft.com/intune/device-configuration/certificates/trusted-root-profiles</w:t>
        </w:r>
      </w:hyperlink>
      <w:r>
        <w:t xml:space="preserve"> </w:t>
      </w:r>
      <w:r>
        <w:t xml:space="preserve">(accessed Oct 20, 2026).</w:t>
      </w:r>
    </w:p>
  </w:footnote>
  <w:footnote w:id="38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“Certificate Connector for Microsoft Intune,”</w:t>
      </w:r>
      <w:r>
        <w:t xml:space="preserve"> </w:t>
      </w:r>
      <w:hyperlink r:id="rId39">
        <w:r>
          <w:rPr>
            <w:rStyle w:val="Hyperlink"/>
          </w:rPr>
          <w:t xml:space="preserve">https://learn.microsoft.com/intune/fundamentals/certificates/connector/overview</w:t>
        </w:r>
      </w:hyperlink>
      <w:r>
        <w:t xml:space="preserve"> </w:t>
      </w:r>
      <w:r>
        <w:t xml:space="preserve">(accessed Oct 20, 2026).</w:t>
      </w:r>
    </w:p>
  </w:footnote>
  <w:footnote w:id="40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“Configure infrastructure to support SCEP with Intune,”</w:t>
      </w:r>
      <w:r>
        <w:t xml:space="preserve"> </w:t>
      </w:r>
      <w:hyperlink r:id="rId41">
        <w:r>
          <w:rPr>
            <w:rStyle w:val="Hyperlink"/>
          </w:rPr>
          <w:t xml:space="preserve">https://learn.microsoft.com/intune/fundamentals/certificates/scep-infrastructure</w:t>
        </w:r>
      </w:hyperlink>
      <w:r>
        <w:t xml:space="preserve"> </w:t>
      </w:r>
      <w:r>
        <w:t xml:space="preserve">(accessed Oct 20, 2026).</w:t>
      </w:r>
    </w:p>
  </w:footnote>
  <w:footnote w:id="42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“Certificate Connector for Microsoft Intune,”</w:t>
      </w:r>
      <w:r>
        <w:t xml:space="preserve"> </w:t>
      </w:r>
      <w:hyperlink r:id="rId39">
        <w:r>
          <w:rPr>
            <w:rStyle w:val="Hyperlink"/>
          </w:rPr>
          <w:t xml:space="preserve">https://learn.microsoft.com/intune/fundamentals/certificates/connector/overview</w:t>
        </w:r>
      </w:hyperlink>
      <w:r>
        <w:t xml:space="preserve"> </w:t>
      </w:r>
      <w:r>
        <w:t xml:space="preserve">(accessed Oct 20, 2026).</w:t>
      </w:r>
    </w:p>
  </w:footnote>
  <w:footnote w:id="43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“Configure Microsoft Cloud PKI - Bring your own CA,”</w:t>
      </w:r>
      <w:r>
        <w:t xml:space="preserve"> </w:t>
      </w:r>
      <w:hyperlink r:id="rId26">
        <w:r>
          <w:rPr>
            <w:rStyle w:val="Hyperlink"/>
          </w:rPr>
          <w:t xml:space="preserve">https://learn.microsoft.com/intune/cloud-pki/configure-byoca</w:t>
        </w:r>
      </w:hyperlink>
      <w:r>
        <w:t xml:space="preserve"> </w:t>
      </w:r>
      <w:r>
        <w:t xml:space="preserve">(accessed Oct 20, 2026).</w:t>
      </w:r>
    </w:p>
  </w:footnote>
  <w:footnote w:id="44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“Create and assign SCEP certificate profiles in Intune,”</w:t>
      </w:r>
      <w:r>
        <w:t xml:space="preserve"> </w:t>
      </w:r>
      <w:r>
        <w:t xml:space="preserve">strong mapping requirements for KB5014754,</w:t>
      </w:r>
      <w:r>
        <w:t xml:space="preserve"> </w:t>
      </w:r>
      <w:hyperlink r:id="rId45">
        <w:r>
          <w:rPr>
            <w:rStyle w:val="Hyperlink"/>
          </w:rPr>
          <w:t xml:space="preserve">https://learn.microsoft.com/intune/device-configuration/certificates/scep-profiles#update-certificate-connector-strong-mapping-requirements-for-kb5014754</w:t>
        </w:r>
      </w:hyperlink>
      <w:r>
        <w:t xml:space="preserve"> </w:t>
      </w:r>
      <w:r>
        <w:t xml:space="preserve">(accessed Oct 20, 2026).</w:t>
      </w:r>
    </w:p>
  </w:footnote>
  <w:footnote w:id="46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“Remove SCEP or PKCS certificates in Microsoft Intune,”</w:t>
      </w:r>
      <w:r>
        <w:t xml:space="preserve"> </w:t>
      </w:r>
      <w:hyperlink r:id="rId47">
        <w:r>
          <w:rPr>
            <w:rStyle w:val="Hyperlink"/>
          </w:rPr>
          <w:t xml:space="preserve">https://learn.microsoft.com/intune/device-configuration/certificates/remove-profiles</w:t>
        </w:r>
      </w:hyperlink>
      <w:r>
        <w:t xml:space="preserve"> </w:t>
      </w:r>
      <w:r>
        <w:t xml:space="preserve">(accessed Oct 20, 2026).</w:t>
      </w:r>
    </w:p>
  </w:footnote>
  <w:footnote w:id="50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“Microsoft Entra licensing,”</w:t>
      </w:r>
      <w:r>
        <w:t xml:space="preserve"> </w:t>
      </w:r>
      <w:r>
        <w:t xml:space="preserve">Microsoft Entra Conditional Access,</w:t>
      </w:r>
      <w:r>
        <w:t xml:space="preserve"> </w:t>
      </w:r>
      <w:hyperlink r:id="rId51">
        <w:r>
          <w:rPr>
            <w:rStyle w:val="Hyperlink"/>
          </w:rPr>
          <w:t xml:space="preserve">https://learn.microsoft.com/entra/fundamentals/licensing</w:t>
        </w:r>
      </w:hyperlink>
      <w:r>
        <w:t xml:space="preserve"> </w:t>
      </w:r>
      <w:r>
        <w:t xml:space="preserve">(accessed Oct 20, 2026).</w:t>
      </w:r>
    </w:p>
  </w:footnote>
  <w:footnote w:id="52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“Set up Microsoft Entra certificate-based authentication,”</w:t>
      </w:r>
      <w:r>
        <w:t xml:space="preserve"> </w:t>
      </w:r>
      <w:hyperlink r:id="rId53">
        <w:r>
          <w:rPr>
            <w:rStyle w:val="Hyperlink"/>
          </w:rPr>
          <w:t xml:space="preserve">https://learn.microsoft.com/en-us/entra/identity/authentication/how-to-certificate-based-authentication</w:t>
        </w:r>
      </w:hyperlink>
      <w:r>
        <w:t xml:space="preserve"> </w:t>
      </w:r>
      <w:r>
        <w:t xml:space="preserve">(accessed Oct 20, 2026).</w:t>
      </w:r>
    </w:p>
  </w:footnote>
  <w:footnote w:id="55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“Set up Microsoft Entra certificate-based authentication,”</w:t>
      </w:r>
      <w:r>
        <w:t xml:space="preserve"> </w:t>
      </w:r>
      <w:hyperlink r:id="rId53">
        <w:r>
          <w:rPr>
            <w:rStyle w:val="Hyperlink"/>
          </w:rPr>
          <w:t xml:space="preserve">https://learn.microsoft.com/en-us/entra/identity/authentication/how-to-certificate-based-authentication</w:t>
        </w:r>
      </w:hyperlink>
      <w:r>
        <w:t xml:space="preserve"> </w:t>
      </w:r>
      <w:r>
        <w:t xml:space="preserve">(accessed Oct 20, 2026).</w:t>
      </w:r>
    </w:p>
  </w:footnote>
  <w:footnote w:id="56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“Microsoft Entra certificate-based authentication technical concepts,”</w:t>
      </w:r>
      <w:r>
        <w:t xml:space="preserve"> </w:t>
      </w:r>
      <w:hyperlink r:id="rId57">
        <w:r>
          <w:rPr>
            <w:rStyle w:val="Hyperlink"/>
          </w:rPr>
          <w:t xml:space="preserve">https://learn.microsoft.com/en-us/entra/identity/authentication/concept-certificate-based-authentication-technical-deep-dive</w:t>
        </w:r>
      </w:hyperlink>
      <w:r>
        <w:t xml:space="preserve"> </w:t>
      </w:r>
      <w:r>
        <w:t xml:space="preserve">(accessed Oct 20, 2026).</w:t>
      </w:r>
    </w:p>
  </w:footnote>
  <w:footnote w:id="58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“Set up Microsoft Entra certificate-based authentication,”</w:t>
      </w:r>
      <w:r>
        <w:t xml:space="preserve"> </w:t>
      </w:r>
      <w:hyperlink r:id="rId53">
        <w:r>
          <w:rPr>
            <w:rStyle w:val="Hyperlink"/>
          </w:rPr>
          <w:t xml:space="preserve">https://learn.microsoft.com/en-us/entra/identity/authentication/how-to-certificate-based-authentication</w:t>
        </w:r>
      </w:hyperlink>
      <w:r>
        <w:t xml:space="preserve"> </w:t>
      </w:r>
      <w:r>
        <w:t xml:space="preserve">(accessed Oct 20, 2026).</w:t>
      </w:r>
    </w:p>
  </w:footnote>
  <w:footnote w:id="59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“Set up Microsoft Entra certificate-based authentication,”</w:t>
      </w:r>
      <w:r>
        <w:t xml:space="preserve"> </w:t>
      </w:r>
      <w:hyperlink r:id="rId53">
        <w:r>
          <w:rPr>
            <w:rStyle w:val="Hyperlink"/>
          </w:rPr>
          <w:t xml:space="preserve">https://learn.microsoft.com/en-us/entra/identity/authentication/how-to-certificate-based-authentication</w:t>
        </w:r>
      </w:hyperlink>
      <w:r>
        <w:t xml:space="preserve"> </w:t>
      </w:r>
      <w:r>
        <w:t xml:space="preserve">(accessed Oct 20, 2026).</w:t>
      </w:r>
    </w:p>
  </w:footnote>
  <w:footnote w:id="60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“Set up Microsoft Entra certificate-based authentication,”</w:t>
      </w:r>
      <w:r>
        <w:t xml:space="preserve"> </w:t>
      </w:r>
      <w:hyperlink r:id="rId53">
        <w:r>
          <w:rPr>
            <w:rStyle w:val="Hyperlink"/>
          </w:rPr>
          <w:t xml:space="preserve">https://learn.microsoft.com/en-us/entra/identity/authentication/how-to-certificate-based-authentication</w:t>
        </w:r>
      </w:hyperlink>
      <w:r>
        <w:t xml:space="preserve"> </w:t>
      </w:r>
      <w:r>
        <w:t xml:space="preserve">(accessed Oct 20, 2026).</w:t>
      </w:r>
    </w:p>
  </w:footnote>
  <w:footnote w:id="61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“Understand Microsoft Entra certificate-based authentication Certificate revocation list,”</w:t>
      </w:r>
      <w:r>
        <w:t xml:space="preserve"> </w:t>
      </w:r>
      <w:hyperlink r:id="rId62">
        <w:r>
          <w:rPr>
            <w:rStyle w:val="Hyperlink"/>
          </w:rPr>
          <w:t xml:space="preserve">https://learn.microsoft.com/en-us/entra/identity/authentication/concept-certificate-based-authentication-certificate-revocation-list</w:t>
        </w:r>
      </w:hyperlink>
      <w:r>
        <w:t xml:space="preserve"> </w:t>
      </w:r>
      <w:r>
        <w:t xml:space="preserve">(accessed Oct 20, 2026).</w:t>
      </w:r>
    </w:p>
  </w:footnote>
  <w:footnote w:id="63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“Understand Microsoft Entra certificate-based authentication Certificate revocation list,”</w:t>
      </w:r>
      <w:r>
        <w:t xml:space="preserve"> </w:t>
      </w:r>
      <w:hyperlink r:id="rId62">
        <w:r>
          <w:rPr>
            <w:rStyle w:val="Hyperlink"/>
          </w:rPr>
          <w:t xml:space="preserve">https://learn.microsoft.com/en-us/entra/identity/authentication/concept-certificate-based-authentication-certificate-revocation-list</w:t>
        </w:r>
      </w:hyperlink>
      <w:r>
        <w:t xml:space="preserve"> </w:t>
      </w:r>
      <w:r>
        <w:t xml:space="preserve">(accessed Oct 20, 2026).</w:t>
      </w:r>
    </w:p>
  </w:footnote>
  <w:footnote w:id="64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“Microsoft Entra certificate-based authentication technical concepts,”</w:t>
      </w:r>
      <w:r>
        <w:t xml:space="preserve"> </w:t>
      </w:r>
      <w:hyperlink r:id="rId57">
        <w:r>
          <w:rPr>
            <w:rStyle w:val="Hyperlink"/>
          </w:rPr>
          <w:t xml:space="preserve">https://learn.microsoft.com/en-us/entra/identity/authentication/concept-certificate-based-authentication-technical-deep-dive</w:t>
        </w:r>
      </w:hyperlink>
      <w:r>
        <w:t xml:space="preserve"> </w:t>
      </w:r>
      <w:r>
        <w:t xml:space="preserve">(accessed Oct 20, 2026).</w:t>
      </w:r>
    </w:p>
  </w:footnote>
  <w:footnote w:id="65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“Migrate from federation to Microsoft Entra certificate-based authentication (CBA),”</w:t>
      </w:r>
      <w:r>
        <w:t xml:space="preserve"> </w:t>
      </w:r>
      <w:hyperlink r:id="rId66">
        <w:r>
          <w:rPr>
            <w:rStyle w:val="Hyperlink"/>
          </w:rPr>
          <w:t xml:space="preserve">https://learn.microsoft.com/entra/identity/authentication/concept-certificate-based-authentication-migration</w:t>
        </w:r>
      </w:hyperlink>
      <w:r>
        <w:t xml:space="preserve"> </w:t>
      </w:r>
      <w:r>
        <w:t xml:space="preserve">(accessed Oct 20, 2026).</w:t>
      </w:r>
    </w:p>
  </w:footnote>
  <w:footnote w:id="67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“Microsoft Entra Connect: Cloud authentication via Staged Rollout,”</w:t>
      </w:r>
      <w:r>
        <w:t xml:space="preserve"> </w:t>
      </w:r>
      <w:hyperlink r:id="rId68">
        <w:r>
          <w:rPr>
            <w:rStyle w:val="Hyperlink"/>
          </w:rPr>
          <w:t xml:space="preserve">https://learn.microsoft.com/en-us/entra/identity/hybrid/connect/how-to-connect-staged-rollout</w:t>
        </w:r>
      </w:hyperlink>
      <w:r>
        <w:t xml:space="preserve"> </w:t>
      </w:r>
      <w:r>
        <w:t xml:space="preserve">(accessed Oct 20, 2026).</w:t>
      </w:r>
    </w:p>
  </w:footnote>
  <w:footnote w:id="69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“Set up Microsoft Entra certificate-based authentication,”</w:t>
      </w:r>
      <w:r>
        <w:t xml:space="preserve"> </w:t>
      </w:r>
      <w:hyperlink r:id="rId53">
        <w:r>
          <w:rPr>
            <w:rStyle w:val="Hyperlink"/>
          </w:rPr>
          <w:t xml:space="preserve">https://learn.microsoft.com/en-us/entra/identity/authentication/how-to-certificate-based-authentication</w:t>
        </w:r>
      </w:hyperlink>
      <w:r>
        <w:t xml:space="preserve"> </w:t>
      </w:r>
      <w:r>
        <w:t xml:space="preserve">(accessed Oct 20, 2026).</w:t>
      </w:r>
    </w:p>
  </w:footnote>
  <w:footnote w:id="70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“Microsoft Entra certificate-based authentication technical concepts,”</w:t>
      </w:r>
      <w:r>
        <w:t xml:space="preserve"> </w:t>
      </w:r>
      <w:hyperlink r:id="rId57">
        <w:r>
          <w:rPr>
            <w:rStyle w:val="Hyperlink"/>
          </w:rPr>
          <w:t xml:space="preserve">https://learn.microsoft.com/en-us/entra/identity/authentication/concept-certificate-based-authentication-technical-deep-dive</w:t>
        </w:r>
      </w:hyperlink>
      <w:r>
        <w:t xml:space="preserve"> </w:t>
      </w:r>
      <w:r>
        <w:t xml:space="preserve">(accessed Oct 20, 2026).</w:t>
      </w:r>
    </w:p>
  </w:footnote>
  <w:footnote w:id="71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“Microsoft Entra certificate-based authentication technical concepts,”</w:t>
      </w:r>
      <w:r>
        <w:t xml:space="preserve"> </w:t>
      </w:r>
      <w:hyperlink r:id="rId57">
        <w:r>
          <w:rPr>
            <w:rStyle w:val="Hyperlink"/>
          </w:rPr>
          <w:t xml:space="preserve">https://learn.microsoft.com/en-us/entra/identity/authentication/concept-certificate-based-authentication-technical-deep-dive</w:t>
        </w:r>
      </w:hyperlink>
      <w:r>
        <w:t xml:space="preserve"> </w:t>
      </w:r>
      <w:r>
        <w:t xml:space="preserve">(accessed Oct 20, 2026).</w:t>
      </w:r>
    </w:p>
  </w:footnote>
  <w:footnote w:id="72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“Set up Microsoft Entra certificate-based authentication,”</w:t>
      </w:r>
      <w:r>
        <w:t xml:space="preserve"> </w:t>
      </w:r>
      <w:hyperlink r:id="rId53">
        <w:r>
          <w:rPr>
            <w:rStyle w:val="Hyperlink"/>
          </w:rPr>
          <w:t xml:space="preserve">https://learn.microsoft.com/en-us/entra/identity/authentication/how-to-certificate-based-authentication</w:t>
        </w:r>
      </w:hyperlink>
      <w:r>
        <w:t xml:space="preserve"> </w:t>
      </w:r>
      <w:r>
        <w:t xml:space="preserve">(accessed Oct 20, 2026).</w:t>
      </w:r>
    </w:p>
  </w:footnote>
  <w:footnote w:id="73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“Microsoft Entra certificate-based authentication technical concepts,”</w:t>
      </w:r>
      <w:r>
        <w:t xml:space="preserve"> </w:t>
      </w:r>
      <w:hyperlink r:id="rId57">
        <w:r>
          <w:rPr>
            <w:rStyle w:val="Hyperlink"/>
          </w:rPr>
          <w:t xml:space="preserve">https://learn.microsoft.com/en-us/entra/identity/authentication/concept-certificate-based-authentication-technical-deep-dive</w:t>
        </w:r>
      </w:hyperlink>
      <w:r>
        <w:t xml:space="preserve"> </w:t>
      </w:r>
      <w:r>
        <w:t xml:space="preserve">(accessed Oct 20, 2026).</w:t>
      </w:r>
    </w:p>
  </w:footnote>
  <w:footnote w:id="74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“Migrate from federation to Microsoft Entra certificate-based authentication (CBA),”</w:t>
      </w:r>
      <w:r>
        <w:t xml:space="preserve"> </w:t>
      </w:r>
      <w:hyperlink r:id="rId66">
        <w:r>
          <w:rPr>
            <w:rStyle w:val="Hyperlink"/>
          </w:rPr>
          <w:t xml:space="preserve">https://learn.microsoft.com/entra/identity/authentication/concept-certificate-based-authentication-migration</w:t>
        </w:r>
      </w:hyperlink>
      <w:r>
        <w:t xml:space="preserve"> </w:t>
      </w:r>
      <w:r>
        <w:t xml:space="preserve">(accessed Oct 20, 2026).</w:t>
      </w:r>
    </w:p>
  </w:footnote>
  <w:footnote w:id="75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“Microsoft Entra Connect: Cloud authentication via Staged Rollout,”</w:t>
      </w:r>
      <w:r>
        <w:t xml:space="preserve"> </w:t>
      </w:r>
      <w:hyperlink r:id="rId68">
        <w:r>
          <w:rPr>
            <w:rStyle w:val="Hyperlink"/>
          </w:rPr>
          <w:t xml:space="preserve">https://learn.microsoft.com/en-us/entra/identity/hybrid/connect/how-to-connect-staged-rollout</w:t>
        </w:r>
      </w:hyperlink>
      <w:r>
        <w:t xml:space="preserve"> </w:t>
      </w:r>
      <w:r>
        <w:t xml:space="preserve">(accessed Oct 20, 2026).</w:t>
      </w:r>
    </w:p>
  </w:footnote>
  <w:footnote w:id="76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“featureRolloutPolicy resource type,”</w:t>
      </w:r>
      <w:r>
        <w:t xml:space="preserve"> </w:t>
      </w:r>
      <w:r>
        <w:t xml:space="preserve">properties,</w:t>
      </w:r>
      <w:r>
        <w:t xml:space="preserve"> </w:t>
      </w:r>
      <w:hyperlink r:id="rId77">
        <w:r>
          <w:rPr>
            <w:rStyle w:val="Hyperlink"/>
          </w:rPr>
          <w:t xml:space="preserve">https://learn.microsoft.com/graph/api/resources/featurerolloutpolicy?view=graph-rest-1.0#properties</w:t>
        </w:r>
      </w:hyperlink>
      <w:r>
        <w:t xml:space="preserve"> </w:t>
      </w:r>
      <w:r>
        <w:t xml:space="preserve">(accessed Oct 20, 2026).</w:t>
      </w:r>
    </w:p>
  </w:footnote>
  <w:footnote w:id="78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“Microsoft Entra Connect: Cloud authentication via Staged Rollout,”</w:t>
      </w:r>
      <w:r>
        <w:t xml:space="preserve"> </w:t>
      </w:r>
      <w:hyperlink r:id="rId68">
        <w:r>
          <w:rPr>
            <w:rStyle w:val="Hyperlink"/>
          </w:rPr>
          <w:t xml:space="preserve">https://learn.microsoft.com/en-us/entra/identity/hybrid/connect/how-to-connect-staged-rollout</w:t>
        </w:r>
      </w:hyperlink>
      <w:r>
        <w:t xml:space="preserve"> </w:t>
      </w:r>
      <w:r>
        <w:t xml:space="preserve">(accessed Oct 20, 2026).</w:t>
      </w:r>
    </w:p>
  </w:footnote>
  <w:footnote w:id="79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“Set up Microsoft Entra certificate-based authentication,”</w:t>
      </w:r>
      <w:r>
        <w:t xml:space="preserve"> </w:t>
      </w:r>
      <w:hyperlink r:id="rId53">
        <w:r>
          <w:rPr>
            <w:rStyle w:val="Hyperlink"/>
          </w:rPr>
          <w:t xml:space="preserve">https://learn.microsoft.com/en-us/entra/identity/authentication/how-to-certificate-based-authentication</w:t>
        </w:r>
      </w:hyperlink>
      <w:r>
        <w:t xml:space="preserve"> </w:t>
      </w:r>
      <w:r>
        <w:t xml:space="preserve">(accessed Oct 20, 2026).</w:t>
      </w:r>
    </w:p>
  </w:footnote>
  <w:footnote w:id="80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“Microsoft Entra certificate-based authentication technical concepts,”</w:t>
      </w:r>
      <w:r>
        <w:t xml:space="preserve"> </w:t>
      </w:r>
      <w:hyperlink r:id="rId57">
        <w:r>
          <w:rPr>
            <w:rStyle w:val="Hyperlink"/>
          </w:rPr>
          <w:t xml:space="preserve">https://learn.microsoft.com/en-us/entra/identity/authentication/concept-certificate-based-authentication-technical-deep-dive</w:t>
        </w:r>
      </w:hyperlink>
      <w:r>
        <w:t xml:space="preserve"> </w:t>
      </w:r>
      <w:r>
        <w:t xml:space="preserve">(accessed Oct 20, 2026).</w:t>
      </w:r>
    </w:p>
  </w:footnote>
  <w:footnote w:id="81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“Microsoft Entra Connect: Cloud authentication via Staged Rollout,”</w:t>
      </w:r>
      <w:r>
        <w:t xml:space="preserve"> </w:t>
      </w:r>
      <w:hyperlink r:id="rId68">
        <w:r>
          <w:rPr>
            <w:rStyle w:val="Hyperlink"/>
          </w:rPr>
          <w:t xml:space="preserve">https://learn.microsoft.com/en-us/entra/identity/hybrid/connect/how-to-connect-staged-rollout</w:t>
        </w:r>
      </w:hyperlink>
      <w:r>
        <w:t xml:space="preserve"> </w:t>
      </w:r>
      <w:r>
        <w:t xml:space="preserve">(accessed Oct 20, 2026).</w:t>
      </w:r>
    </w:p>
  </w:footnote>
  <w:footnote w:id="82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“Set up Microsoft Entra certificate-based authentication,”</w:t>
      </w:r>
      <w:r>
        <w:t xml:space="preserve"> </w:t>
      </w:r>
      <w:hyperlink r:id="rId53">
        <w:r>
          <w:rPr>
            <w:rStyle w:val="Hyperlink"/>
          </w:rPr>
          <w:t xml:space="preserve">https://learn.microsoft.com/en-us/entra/identity/authentication/how-to-certificate-based-authentication</w:t>
        </w:r>
      </w:hyperlink>
      <w:r>
        <w:t xml:space="preserve"> </w:t>
      </w:r>
      <w:r>
        <w:t xml:space="preserve">(accessed Oct 20, 2026).</w:t>
      </w:r>
    </w:p>
  </w:footnote>
  <w:footnote w:id="83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“Migrate from federation to cloud authentication,”</w:t>
      </w:r>
      <w:r>
        <w:t xml:space="preserve"> </w:t>
      </w:r>
      <w:hyperlink r:id="rId84">
        <w:r>
          <w:rPr>
            <w:rStyle w:val="Hyperlink"/>
          </w:rPr>
          <w:t xml:space="preserve">https://learn.microsoft.com/entra/identity/hybrid/connect/migrate-from-federation-to-cloud-authentication</w:t>
        </w:r>
      </w:hyperlink>
      <w:r>
        <w:t xml:space="preserve"> </w:t>
      </w:r>
      <w:r>
        <w:t xml:space="preserve">(accessed Oct 20, 2026).</w:t>
      </w:r>
    </w:p>
  </w:footnote>
  <w:footnote w:id="85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“Migrate from federation to cloud authentication,”</w:t>
      </w:r>
      <w:r>
        <w:t xml:space="preserve"> </w:t>
      </w:r>
      <w:hyperlink r:id="rId84">
        <w:r>
          <w:rPr>
            <w:rStyle w:val="Hyperlink"/>
          </w:rPr>
          <w:t xml:space="preserve">https://learn.microsoft.com/entra/identity/hybrid/connect/migrate-from-federation-to-cloud-authentication</w:t>
        </w:r>
      </w:hyperlink>
      <w:r>
        <w:t xml:space="preserve"> </w:t>
      </w:r>
      <w:r>
        <w:t xml:space="preserve">(accessed Oct 20, 2026).</w:t>
      </w:r>
    </w:p>
  </w:footnote>
  <w:footnote w:id="86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“Microsoft Entra Connect: Cloud authentication via Staged Rollout,”</w:t>
      </w:r>
      <w:r>
        <w:t xml:space="preserve"> </w:t>
      </w:r>
      <w:hyperlink r:id="rId68">
        <w:r>
          <w:rPr>
            <w:rStyle w:val="Hyperlink"/>
          </w:rPr>
          <w:t xml:space="preserve">https://learn.microsoft.com/en-us/entra/identity/hybrid/connect/how-to-connect-staged-rollout</w:t>
        </w:r>
      </w:hyperlink>
      <w:r>
        <w:t xml:space="preserve"> </w:t>
      </w:r>
      <w:r>
        <w:t xml:space="preserve">(accessed Oct 20, 2026).</w:t>
      </w:r>
    </w:p>
  </w:footnote>
  <w:footnote w:id="87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“Microsoft Entra certificate-based authentication technical concepts,”</w:t>
      </w:r>
      <w:r>
        <w:t xml:space="preserve"> </w:t>
      </w:r>
      <w:hyperlink r:id="rId57">
        <w:r>
          <w:rPr>
            <w:rStyle w:val="Hyperlink"/>
          </w:rPr>
          <w:t xml:space="preserve">https://learn.microsoft.com/en-us/entra/identity/authentication/concept-certificate-based-authentication-technical-deep-dive</w:t>
        </w:r>
      </w:hyperlink>
      <w:r>
        <w:t xml:space="preserve"> </w:t>
      </w:r>
      <w:r>
        <w:t xml:space="preserve">(accessed Oct 20, 2026).</w:t>
      </w:r>
    </w:p>
  </w:footnote>
  <w:footnote w:id="88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“Understand Microsoft Entra certificate-based authentication Certificate revocation list,”</w:t>
      </w:r>
      <w:r>
        <w:t xml:space="preserve"> </w:t>
      </w:r>
      <w:hyperlink r:id="rId62">
        <w:r>
          <w:rPr>
            <w:rStyle w:val="Hyperlink"/>
          </w:rPr>
          <w:t xml:space="preserve">https://learn.microsoft.com/en-us/entra/identity/authentication/concept-certificate-based-authentication-certificate-revocation-list</w:t>
        </w:r>
      </w:hyperlink>
      <w:r>
        <w:t xml:space="preserve"> </w:t>
      </w:r>
      <w:r>
        <w:t xml:space="preserve">(accessed Oct 20, 2026).</w:t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89" Target="media/rId89.png" /><Relationship Type="http://schemas.openxmlformats.org/officeDocument/2006/relationships/image" Id="rId15" Target="media/rId15.png" /><Relationship Type="http://schemas.openxmlformats.org/officeDocument/2006/relationships/hyperlink" Id="rId54" Target="../b03-hr-identity/09-credentials-and-certificates.md" TargetMode="External" /><Relationship Type="http://schemas.openxmlformats.org/officeDocument/2006/relationships/hyperlink" Id="rId23" Target="04-the-target-pki.md" TargetMode="External" /><Relationship Type="http://schemas.openxmlformats.org/officeDocument/2006/relationships/hyperlink" Id="rId14" Target="05-who-owns-the-certificate-estate.md" TargetMode="External" /><Relationship Type="http://schemas.openxmlformats.org/officeDocument/2006/relationships/hyperlink" Id="rId12" Target="06-device-and-user-certificates.md" TargetMode="External" /><Relationship Type="http://schemas.openxmlformats.org/officeDocument/2006/relationships/hyperlink" Id="rId13" Target="07-coexistence-and-migration.md" TargetMode="External" /><Relationship Type="http://schemas.openxmlformats.org/officeDocument/2006/relationships/hyperlink" Id="rId48" Target="08-lifecycle-monitoring-and-decommissioning.md" TargetMode="External" /><Relationship Type="http://schemas.openxmlformats.org/officeDocument/2006/relationships/hyperlink" Id="rId93" Target="appendix-b-template-migration-matrix.md" TargetMode="External" /><Relationship Type="http://schemas.openxmlformats.org/officeDocument/2006/relationships/hyperlink" Id="rId62" Target="https://learn.microsoft.com/en-us/entra/identity/authentication/concept-certificate-based-authentication-certificate-revocation-list" TargetMode="External" /><Relationship Type="http://schemas.openxmlformats.org/officeDocument/2006/relationships/hyperlink" Id="rId57" Target="https://learn.microsoft.com/en-us/entra/identity/authentication/concept-certificate-based-authentication-technical-deep-dive" TargetMode="External" /><Relationship Type="http://schemas.openxmlformats.org/officeDocument/2006/relationships/hyperlink" Id="rId53" Target="https://learn.microsoft.com/en-us/entra/identity/authentication/how-to-certificate-based-authentication" TargetMode="External" /><Relationship Type="http://schemas.openxmlformats.org/officeDocument/2006/relationships/hyperlink" Id="rId68" Target="https://learn.microsoft.com/en-us/entra/identity/hybrid/connect/how-to-connect-staged-rollout" TargetMode="External" /><Relationship Type="http://schemas.openxmlformats.org/officeDocument/2006/relationships/hyperlink" Id="rId51" Target="https://learn.microsoft.com/entra/fundamentals/licensing" TargetMode="External" /><Relationship Type="http://schemas.openxmlformats.org/officeDocument/2006/relationships/hyperlink" Id="rId66" Target="https://learn.microsoft.com/entra/identity/authentication/concept-certificate-based-authentication-migration" TargetMode="External" /><Relationship Type="http://schemas.openxmlformats.org/officeDocument/2006/relationships/hyperlink" Id="rId84" Target="https://learn.microsoft.com/entra/identity/hybrid/connect/migrate-from-federation-to-cloud-authentication" TargetMode="External" /><Relationship Type="http://schemas.openxmlformats.org/officeDocument/2006/relationships/hyperlink" Id="rId77" Target="https://learn.microsoft.com/graph/api/resources/featurerolloutpolicy?view=graph-rest-1.0#properties" TargetMode="External" /><Relationship Type="http://schemas.openxmlformats.org/officeDocument/2006/relationships/hyperlink" Id="rId19" Target="https://learn.microsoft.com/intune/cloud-pki/" TargetMode="External" /><Relationship Type="http://schemas.openxmlformats.org/officeDocument/2006/relationships/hyperlink" Id="rId26" Target="https://learn.microsoft.com/intune/cloud-pki/configure-byoca" TargetMode="External" /><Relationship Type="http://schemas.openxmlformats.org/officeDocument/2006/relationships/hyperlink" Id="rId47" Target="https://learn.microsoft.com/intune/device-configuration/certificates/remove-profiles" TargetMode="External" /><Relationship Type="http://schemas.openxmlformats.org/officeDocument/2006/relationships/hyperlink" Id="rId45" Target="https://learn.microsoft.com/intune/device-configuration/certificates/scep-profiles#update-certificate-connector-strong-mapping-requirements-for-kb5014754" TargetMode="External" /><Relationship Type="http://schemas.openxmlformats.org/officeDocument/2006/relationships/hyperlink" Id="rId34" Target="https://learn.microsoft.com/intune/device-configuration/certificates/trusted-root-profiles" TargetMode="External" /><Relationship Type="http://schemas.openxmlformats.org/officeDocument/2006/relationships/hyperlink" Id="rId39" Target="https://learn.microsoft.com/intune/fundamentals/certificates/connector/overview" TargetMode="External" /><Relationship Type="http://schemas.openxmlformats.org/officeDocument/2006/relationships/hyperlink" Id="rId41" Target="https://learn.microsoft.com/intune/fundamentals/certificates/scep-infrastructure" TargetMode="External" /><Relationship Type="http://schemas.openxmlformats.org/officeDocument/2006/relationships/hyperlink" Id="rId21" Target="https://learn.microsoft.com/intune/fundamentals/planning-guide#step-3---determine-costs-and-licensing" TargetMode="External" /><Relationship Type="http://schemas.openxmlformats.org/officeDocument/2006/relationships/hyperlink" Id="rId22" Target="https://learn.microsoft.com/intune/whats-new/" TargetMode="External" /><Relationship Type="http://schemas.openxmlformats.org/officeDocument/2006/relationships/hyperlink" Id="rId92" Target="index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4" Target="../b03-hr-identity/09-credentials-and-certificates.md" TargetMode="External" /><Relationship Type="http://schemas.openxmlformats.org/officeDocument/2006/relationships/hyperlink" Id="rId23" Target="04-the-target-pki.md" TargetMode="External" /><Relationship Type="http://schemas.openxmlformats.org/officeDocument/2006/relationships/hyperlink" Id="rId14" Target="05-who-owns-the-certificate-estate.md" TargetMode="External" /><Relationship Type="http://schemas.openxmlformats.org/officeDocument/2006/relationships/hyperlink" Id="rId12" Target="06-device-and-user-certificates.md" TargetMode="External" /><Relationship Type="http://schemas.openxmlformats.org/officeDocument/2006/relationships/hyperlink" Id="rId13" Target="07-coexistence-and-migration.md" TargetMode="External" /><Relationship Type="http://schemas.openxmlformats.org/officeDocument/2006/relationships/hyperlink" Id="rId48" Target="08-lifecycle-monitoring-and-decommissioning.md" TargetMode="External" /><Relationship Type="http://schemas.openxmlformats.org/officeDocument/2006/relationships/hyperlink" Id="rId93" Target="appendix-b-template-migration-matrix.md" TargetMode="External" /><Relationship Type="http://schemas.openxmlformats.org/officeDocument/2006/relationships/hyperlink" Id="rId62" Target="https://learn.microsoft.com/en-us/entra/identity/authentication/concept-certificate-based-authentication-certificate-revocation-list" TargetMode="External" /><Relationship Type="http://schemas.openxmlformats.org/officeDocument/2006/relationships/hyperlink" Id="rId57" Target="https://learn.microsoft.com/en-us/entra/identity/authentication/concept-certificate-based-authentication-technical-deep-dive" TargetMode="External" /><Relationship Type="http://schemas.openxmlformats.org/officeDocument/2006/relationships/hyperlink" Id="rId53" Target="https://learn.microsoft.com/en-us/entra/identity/authentication/how-to-certificate-based-authentication" TargetMode="External" /><Relationship Type="http://schemas.openxmlformats.org/officeDocument/2006/relationships/hyperlink" Id="rId68" Target="https://learn.microsoft.com/en-us/entra/identity/hybrid/connect/how-to-connect-staged-rollout" TargetMode="External" /><Relationship Type="http://schemas.openxmlformats.org/officeDocument/2006/relationships/hyperlink" Id="rId51" Target="https://learn.microsoft.com/entra/fundamentals/licensing" TargetMode="External" /><Relationship Type="http://schemas.openxmlformats.org/officeDocument/2006/relationships/hyperlink" Id="rId66" Target="https://learn.microsoft.com/entra/identity/authentication/concept-certificate-based-authentication-migration" TargetMode="External" /><Relationship Type="http://schemas.openxmlformats.org/officeDocument/2006/relationships/hyperlink" Id="rId84" Target="https://learn.microsoft.com/entra/identity/hybrid/connect/migrate-from-federation-to-cloud-authentication" TargetMode="External" /><Relationship Type="http://schemas.openxmlformats.org/officeDocument/2006/relationships/hyperlink" Id="rId77" Target="https://learn.microsoft.com/graph/api/resources/featurerolloutpolicy?view=graph-rest-1.0#properties" TargetMode="External" /><Relationship Type="http://schemas.openxmlformats.org/officeDocument/2006/relationships/hyperlink" Id="rId19" Target="https://learn.microsoft.com/intune/cloud-pki/" TargetMode="External" /><Relationship Type="http://schemas.openxmlformats.org/officeDocument/2006/relationships/hyperlink" Id="rId26" Target="https://learn.microsoft.com/intune/cloud-pki/configure-byoca" TargetMode="External" /><Relationship Type="http://schemas.openxmlformats.org/officeDocument/2006/relationships/hyperlink" Id="rId47" Target="https://learn.microsoft.com/intune/device-configuration/certificates/remove-profiles" TargetMode="External" /><Relationship Type="http://schemas.openxmlformats.org/officeDocument/2006/relationships/hyperlink" Id="rId45" Target="https://learn.microsoft.com/intune/device-configuration/certificates/scep-profiles#update-certificate-connector-strong-mapping-requirements-for-kb5014754" TargetMode="External" /><Relationship Type="http://schemas.openxmlformats.org/officeDocument/2006/relationships/hyperlink" Id="rId34" Target="https://learn.microsoft.com/intune/device-configuration/certificates/trusted-root-profiles" TargetMode="External" /><Relationship Type="http://schemas.openxmlformats.org/officeDocument/2006/relationships/hyperlink" Id="rId39" Target="https://learn.microsoft.com/intune/fundamentals/certificates/connector/overview" TargetMode="External" /><Relationship Type="http://schemas.openxmlformats.org/officeDocument/2006/relationships/hyperlink" Id="rId41" Target="https://learn.microsoft.com/intune/fundamentals/certificates/scep-infrastructure" TargetMode="External" /><Relationship Type="http://schemas.openxmlformats.org/officeDocument/2006/relationships/hyperlink" Id="rId21" Target="https://learn.microsoft.com/intune/fundamentals/planning-guide#step-3---determine-costs-and-licensing" TargetMode="External" /><Relationship Type="http://schemas.openxmlformats.org/officeDocument/2006/relationships/hyperlink" Id="rId22" Target="https://learn.microsoft.com/intune/whats-new/" TargetMode="External" /><Relationship Type="http://schemas.openxmlformats.org/officeDocument/2006/relationships/hyperlink" Id="rId92" Target="index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Appendix A — Cloud PKI and CBA Deployment Checklists</dc:title>
  <dc:creator/>
  <dc:description>Two working checklists, verified against Microsoft documentation as of October 2026: deploying Microsoft Cloud PKI with Intune, and configuring Microsoft Entra certificate-based authentication through to domain cutover.</dc:description>
  <cp:keywords/>
  <dcterms:created xsi:type="dcterms:W3CDTF">2026-10-20T23:26:34Z</dcterms:created>
  <dcterms:modified xsi:type="dcterms:W3CDTF">2026-10-20T23:26:34Z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dience">
    <vt:lpwstr/>
  </property>
  <property fmtid="{D5CDD505-2E9C-101B-9397-08002B2CF9AE}" pid="3" name="biblio-config">
    <vt:lpwstr>True</vt:lpwstr>
  </property>
  <property fmtid="{D5CDD505-2E9C-101B-9397-08002B2CF9AE}" pid="4" name="book">
    <vt:lpwstr>B07</vt:lpwstr>
  </property>
  <property fmtid="{D5CDD505-2E9C-101B-9397-08002B2CF9AE}" pid="5" name="doc-type">
    <vt:lpwstr>workbook-chapter</vt:lpwstr>
  </property>
  <property fmtid="{D5CDD505-2E9C-101B-9397-08002B2CF9AE}" pid="6" name="family">
    <vt:lpwstr>b07-pki</vt:lpwstr>
  </property>
  <property fmtid="{D5CDD505-2E9C-101B-9397-08002B2CF9AE}" pid="7" name="header-includes">
    <vt:lpwstr/>
  </property>
  <property fmtid="{D5CDD505-2E9C-101B-9397-08002B2CF9AE}" pid="8" name="include-after">
    <vt:lpwstr/>
  </property>
  <property fmtid="{D5CDD505-2E9C-101B-9397-08002B2CF9AE}" pid="9" name="include-before">
    <vt:lpwstr/>
  </property>
  <property fmtid="{D5CDD505-2E9C-101B-9397-08002B2CF9AE}" pid="10" name="labels">
    <vt:lpwstr/>
  </property>
  <property fmtid="{D5CDD505-2E9C-101B-9397-08002B2CF9AE}" pid="11" name="lifecycle">
    <vt:lpwstr>active</vt:lpwstr>
  </property>
  <property fmtid="{D5CDD505-2E9C-101B-9397-08002B2CF9AE}" pid="12" name="lifecycle_review">
    <vt:lpwstr>2027-04-01</vt:lpwstr>
  </property>
  <property fmtid="{D5CDD505-2E9C-101B-9397-08002B2CF9AE}" pid="13" name="part">
    <vt:lpwstr>Appendix</vt:lpwstr>
  </property>
  <property fmtid="{D5CDD505-2E9C-101B-9397-08002B2CF9AE}" pid="14" name="series-order">
    <vt:lpwstr>90</vt:lpwstr>
  </property>
  <property fmtid="{D5CDD505-2E9C-101B-9397-08002B2CF9AE}" pid="15" name="status">
    <vt:lpwstr>draft</vt:lpwstr>
  </property>
  <property fmtid="{D5CDD505-2E9C-101B-9397-08002B2CF9AE}" pid="16" name="tiers_adopted">
    <vt:lpwstr/>
  </property>
  <property fmtid="{D5CDD505-2E9C-101B-9397-08002B2CF9AE}" pid="17" name="toc-title">
    <vt:lpwstr>Table of contents</vt:lpwstr>
  </property>
</Properties>
</file>