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Workbook Books</w:t>
      </w:r>
    </w:p>
    <w:p>
      <w:pPr>
        <w:pStyle w:val="Subtitle"/>
      </w:pPr>
      <w:r>
        <w:t xml:space="preserve">The workbook’s documents organized into eighteen topic books, each framed Why / What / Who / How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the-workbook-books"/>
    <w:p>
      <w:pPr>
        <w:pStyle w:val="Heading1"/>
      </w:pPr>
      <w:r>
        <w:t xml:space="preserve">The Workbook Books</w:t>
      </w:r>
    </w:p>
    <w:p>
      <w:pPr>
        <w:pStyle w:val="FirstParagraph"/>
      </w:pPr>
      <w:r>
        <w:t xml:space="preserve">The workbook grew as separate whitepapers, guides, series and case studies. The books reorganize that material by topic. Each book opens with one question (its</w:t>
      </w:r>
      <w:r>
        <w:t xml:space="preserve"> </w:t>
      </w:r>
      <w:r>
        <w:rPr>
          <w:b/>
          <w:bCs/>
        </w:rPr>
        <w:t xml:space="preserve">Why</w:t>
      </w:r>
      <w:r>
        <w:t xml:space="preserve">), then covers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changes,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owns it, and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to do it. Every external claim is checked against a primary source and footnoted, diagrams follow one house style, and each book has a Word edition and a 15-minute narrated presentation. When a book is built, the pages it replaces move to the repository’s</w:t>
      </w:r>
      <w:r>
        <w:t xml:space="preserve"> </w:t>
      </w:r>
      <w:r>
        <w:rPr>
          <w:rStyle w:val="VerbatimChar"/>
        </w:rPr>
        <w:t xml:space="preserve">archive/</w:t>
      </w:r>
      <w:r>
        <w:t xml:space="preserve"> </w:t>
      </w:r>
      <w:r>
        <w:t xml:space="preserve">folder and their old addresses forward to the new chapters.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Opening question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B00</w:t>
            </w:r>
          </w:p>
        </w:tc>
        <w:tc>
          <w:tcPr/>
          <w:p>
            <w:pPr>
              <w:pStyle w:val="Compact"/>
            </w:pPr>
            <w:r>
              <w:t xml:space="preserve">Orientation &amp; Program</w:t>
            </w:r>
          </w:p>
        </w:tc>
        <w:tc>
          <w:tcPr/>
          <w:p>
            <w:pPr>
              <w:pStyle w:val="Compact"/>
            </w:pPr>
            <w:r>
              <w:t xml:space="preserve">Why modernize, and why now?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B01</w:t>
            </w:r>
          </w:p>
        </w:tc>
        <w:tc>
          <w:tcPr/>
          <w:p>
            <w:pPr>
              <w:pStyle w:val="Compact"/>
            </w:pPr>
            <w:r>
              <w:t xml:space="preserve">The Transformation Arc: Client-Server to Hybrid Cloud</w:t>
            </w:r>
          </w:p>
        </w:tc>
        <w:tc>
          <w:tcPr/>
          <w:p>
            <w:pPr>
              <w:pStyle w:val="Compact"/>
            </w:pPr>
            <w:r>
              <w:t xml:space="preserve">Why is modernization so hard?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B02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  <w:b/>
                  <w:bCs/>
                </w:rPr>
                <w:t xml:space="preserve">Identity &amp; Directory: AD to Entra ID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Why does identity matter?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B03</w:t>
            </w:r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  <w:b/>
                  <w:bCs/>
                </w:rPr>
                <w:t xml:space="preserve">HR-Driven Identity &amp; Lifecycle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Why should HR, not IT, decide who exists?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B04</w:t>
            </w:r>
          </w:p>
        </w:tc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  <w:b/>
                  <w:bCs/>
                </w:rPr>
                <w:t xml:space="preserve">Access &amp; Privilege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Why is every access decision a policy decision?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B05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  <w:b/>
                  <w:bCs/>
                </w:rPr>
                <w:t xml:space="preserve">Devices &amp; Endpoints: GPO to Intune and Arc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Why can’t Group Policy come to the cloud?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B06</w:t>
            </w:r>
          </w:p>
        </w:tc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  <w:b/>
                  <w:bCs/>
                </w:rPr>
                <w:t xml:space="preserve">Data Platform: SQL Server Identity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Why is the database where legacy authentication hides?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B07</w:t>
            </w:r>
          </w:p>
        </w:tc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  <w:b/>
                  <w:bCs/>
                </w:rPr>
                <w:t xml:space="preserve">PKI &amp; Certificates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Why do certificates outlive every migration?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B08</w:t>
            </w:r>
          </w:p>
        </w:tc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  <w:b/>
                  <w:bCs/>
                </w:rPr>
                <w:t xml:space="preserve">DNS, DHCP &amp; IPAM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Why is DNS now the control plane?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B09</w:t>
            </w:r>
          </w:p>
        </w:tc>
        <w:tc>
          <w:tcPr/>
          <w:p>
            <w:pPr>
              <w:pStyle w:val="Compact"/>
            </w:pPr>
            <w:r>
              <w:t xml:space="preserve">Network &amp; Transport</w:t>
            </w:r>
          </w:p>
        </w:tc>
        <w:tc>
          <w:tcPr/>
          <w:p>
            <w:pPr>
              <w:pStyle w:val="Compact"/>
            </w:pPr>
            <w:r>
              <w:t xml:space="preserve">Why does physics decide the architecture?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B10</w:t>
            </w:r>
          </w:p>
        </w:tc>
        <w:tc>
          <w:tcPr/>
          <w:p>
            <w:pPr>
              <w:pStyle w:val="Compact"/>
            </w:pPr>
            <w:r>
              <w:t xml:space="preserve">Cloud Boundary &amp; Landing Zone</w:t>
            </w:r>
          </w:p>
        </w:tc>
        <w:tc>
          <w:tcPr/>
          <w:p>
            <w:pPr>
              <w:pStyle w:val="Compact"/>
            </w:pPr>
            <w:r>
              <w:t xml:space="preserve">Why does the authorization boundary decide what you can use?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B11</w:t>
            </w:r>
          </w:p>
        </w:tc>
        <w:tc>
          <w:tcPr/>
          <w:p>
            <w:pPr>
              <w:pStyle w:val="Compact"/>
            </w:pPr>
            <w:r>
              <w:t xml:space="preserve">Zero Trust &amp; Assessment</w:t>
            </w:r>
          </w:p>
        </w:tc>
        <w:tc>
          <w:tcPr/>
          <w:p>
            <w:pPr>
              <w:pStyle w:val="Compact"/>
            </w:pPr>
            <w:r>
              <w:t xml:space="preserve">Why is Zero Trust a whole-agency property, not a product?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B12</w:t>
            </w:r>
          </w:p>
        </w:tc>
        <w:tc>
          <w:tcPr/>
          <w:p>
            <w:pPr>
              <w:pStyle w:val="Compact"/>
            </w:pPr>
            <w:r>
              <w:t xml:space="preserve">Security Operations &amp; Telemetry</w:t>
            </w:r>
          </w:p>
        </w:tc>
        <w:tc>
          <w:tcPr/>
          <w:p>
            <w:pPr>
              <w:pStyle w:val="Compact"/>
            </w:pPr>
            <w:r>
              <w:t xml:space="preserve">Why can’t you defend what you can’t see?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B13</w:t>
            </w:r>
          </w:p>
        </w:tc>
        <w:tc>
          <w:tcPr/>
          <w:p>
            <w:pPr>
              <w:pStyle w:val="Compact"/>
            </w:pPr>
            <w:r>
              <w:t xml:space="preserve">Governance, Drift &amp; Evidence</w:t>
            </w:r>
          </w:p>
        </w:tc>
        <w:tc>
          <w:tcPr/>
          <w:p>
            <w:pPr>
              <w:pStyle w:val="Compact"/>
            </w:pPr>
            <w:r>
              <w:t xml:space="preserve">Why does compliance decay the day after the audit?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B14</w:t>
            </w:r>
          </w:p>
        </w:tc>
        <w:tc>
          <w:tcPr/>
          <w:p>
            <w:pPr>
              <w:pStyle w:val="Compact"/>
            </w:pPr>
            <w:r>
              <w:t xml:space="preserve">Federal Compliance &amp; Authorization</w:t>
            </w:r>
          </w:p>
        </w:tc>
        <w:tc>
          <w:tcPr/>
          <w:p>
            <w:pPr>
              <w:pStyle w:val="Compact"/>
            </w:pPr>
            <w:r>
              <w:t xml:space="preserve">Why does every control need proof, not a promise?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B15</w:t>
            </w:r>
          </w:p>
        </w:tc>
        <w:tc>
          <w:tcPr/>
          <w:p>
            <w:pPr>
              <w:pStyle w:val="Compact"/>
            </w:pPr>
            <w:r>
              <w:t xml:space="preserve">Compliance Automation &amp; Day-2 Operations</w:t>
            </w:r>
          </w:p>
        </w:tc>
        <w:tc>
          <w:tcPr/>
          <w:p>
            <w:pPr>
              <w:pStyle w:val="Compact"/>
            </w:pPr>
            <w:r>
              <w:t xml:space="preserve">Why does modernization succeed or fail at the help desk?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B16</w:t>
            </w:r>
          </w:p>
        </w:tc>
        <w:tc>
          <w:tcPr/>
          <w:p>
            <w:pPr>
              <w:pStyle w:val="Compact"/>
            </w:pPr>
            <w:r>
              <w:t xml:space="preserve">People: Training &amp; Education</w:t>
            </w:r>
          </w:p>
        </w:tc>
        <w:tc>
          <w:tcPr/>
          <w:p>
            <w:pPr>
              <w:pStyle w:val="Compact"/>
            </w:pPr>
            <w:r>
              <w:t xml:space="preserve">Why do people, not tools, close the gap?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B17</w:t>
            </w:r>
          </w:p>
        </w:tc>
        <w:tc>
          <w:tcPr/>
          <w:p>
            <w:pPr>
              <w:pStyle w:val="Compact"/>
            </w:pPr>
            <w:r>
              <w:t xml:space="preserve">AI Identity Governance</w:t>
            </w:r>
          </w:p>
        </w:tc>
        <w:tc>
          <w:tcPr/>
          <w:p>
            <w:pPr>
              <w:pStyle w:val="Compact"/>
            </w:pPr>
            <w:r>
              <w:t xml:space="preserve">Why do AI agents need identities and owners?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</w:tbl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02-identity/index.md" TargetMode="External" /><Relationship Type="http://schemas.openxmlformats.org/officeDocument/2006/relationships/hyperlink" Id="rId10" Target="b03-hr-identity/index.md" TargetMode="External" /><Relationship Type="http://schemas.openxmlformats.org/officeDocument/2006/relationships/hyperlink" Id="rId11" Target="b04-access/index.md" TargetMode="External" /><Relationship Type="http://schemas.openxmlformats.org/officeDocument/2006/relationships/hyperlink" Id="rId12" Target="b05-devices/index.md" TargetMode="External" /><Relationship Type="http://schemas.openxmlformats.org/officeDocument/2006/relationships/hyperlink" Id="rId13" Target="b06-data-platform/index.md" TargetMode="External" /><Relationship Type="http://schemas.openxmlformats.org/officeDocument/2006/relationships/hyperlink" Id="rId14" Target="b07-pki/index.md" TargetMode="External" /><Relationship Type="http://schemas.openxmlformats.org/officeDocument/2006/relationships/hyperlink" Id="rId15" Target="b08-ddi/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02-identity/index.md" TargetMode="External" /><Relationship Type="http://schemas.openxmlformats.org/officeDocument/2006/relationships/hyperlink" Id="rId10" Target="b03-hr-identity/index.md" TargetMode="External" /><Relationship Type="http://schemas.openxmlformats.org/officeDocument/2006/relationships/hyperlink" Id="rId11" Target="b04-access/index.md" TargetMode="External" /><Relationship Type="http://schemas.openxmlformats.org/officeDocument/2006/relationships/hyperlink" Id="rId12" Target="b05-devices/index.md" TargetMode="External" /><Relationship Type="http://schemas.openxmlformats.org/officeDocument/2006/relationships/hyperlink" Id="rId13" Target="b06-data-platform/index.md" TargetMode="External" /><Relationship Type="http://schemas.openxmlformats.org/officeDocument/2006/relationships/hyperlink" Id="rId14" Target="b07-pki/index.md" TargetMode="External" /><Relationship Type="http://schemas.openxmlformats.org/officeDocument/2006/relationships/hyperlink" Id="rId15" Target="b08-ddi/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Workbook Books</dc:title>
  <dc:creator/>
  <dc:description>The Modernization Workbook organized as eighteen topic books. Each book consolidates the workbook’s pages on one topic into an ordered, footnoted reading sequence with a Word edition and a 15-minute presentation.</dc:description>
  <cp:keywords/>
  <dcterms:created xsi:type="dcterms:W3CDTF">2026-10-20T23:26:51Z</dcterms:created>
  <dcterms:modified xsi:type="dcterms:W3CDTF">2026-10-20T23:26:51Z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section-landing</vt:lpwstr>
  </property>
  <property fmtid="{D5CDD505-2E9C-101B-9397-08002B2CF9AE}" pid="5" name="family">
    <vt:lpwstr>books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2027-04-01</vt:lpwstr>
  </property>
  <property fmtid="{D5CDD505-2E9C-101B-9397-08002B2CF9AE}" pid="12" name="subtitle">
    <vt:lpwstr>The workbook’s documents organized into eighteen topic books, each framed Why / What / Who / How</vt:lpwstr>
  </property>
  <property fmtid="{D5CDD505-2E9C-101B-9397-08002B2CF9AE}" pid="13" name="tiers_adopted">
    <vt:lpwstr/>
  </property>
  <property fmtid="{D5CDD505-2E9C-101B-9397-08002B2CF9AE}" pid="14" name="toc-title">
    <vt:lpwstr>Table of contents</vt:lpwstr>
  </property>
</Properties>
</file>