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Cloud Boundary — Case Study</w:t>
      </w:r>
    </w:p>
    <w:p>
      <w:pPr>
        <w:pStyle w:val="Subtitle"/>
      </w:pPr>
      <w:r>
        <w:t xml:space="preserve">Governing GCC Moderate compliance gaps with the Federal Modernization Program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9" w:name="cloud-boundary-case-study"/>
    <w:p>
      <w:pPr>
        <w:pStyle w:val="Heading1"/>
      </w:pPr>
      <w:r>
        <w:t xml:space="preserve">Cloud Boundary — Case Study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Framing pattern, not a fabricated engagement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page is the</w:t>
            </w:r>
            <w:r>
              <w:t xml:space="preserve"> </w:t>
            </w:r>
            <w:r>
              <w:rPr>
                <w:b/>
                <w:bCs/>
              </w:rPr>
              <w:t xml:space="preserve">canonical engagement pattern</w:t>
            </w:r>
            <w:r>
              <w:t xml:space="preserve"> </w:t>
            </w:r>
            <w:r>
              <w:t xml:space="preserve">for a GCC-Moderate</w:t>
            </w:r>
            <w:r>
              <w:t xml:space="preserve"> </w:t>
            </w:r>
            <w:r>
              <w:t xml:space="preserve">boundary case study. Specific agency identifiers and metrics are</w:t>
            </w:r>
            <w:r>
              <w:t xml:space="preserve"> </w:t>
            </w:r>
            <w:r>
              <w:t xml:space="preserve">intentionally absent until real engagement material is reviewed.</w:t>
            </w:r>
          </w:p>
          <w:p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5" w:name="fig-cloud-boundary-case-study-image-01"/>
          <w:p>
            <w:pPr>
              <w:pStyle w:val="Compact"/>
              <w:jc w:val="center"/>
            </w:pPr>
            <w:r>
              <w:drawing>
                <wp:inline>
                  <wp:extent cx="5334000" cy="53340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../images/case-studies/cloud-boundary-case-study-image-01-gcc-moderate-boundary-engagement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GCC-Moderate boundary engagement pattern diagram</w:t>
            </w:r>
          </w:p>
          <w:bookmarkEnd w:id="15"/>
        </w:tc>
      </w:tr>
    </w:tbl>
    <w:bookmarkStart w:id="16" w:name="engagement-archetype"/>
    <w:p>
      <w:pPr>
        <w:pStyle w:val="Heading2"/>
      </w:pPr>
      <w:r>
        <w:t xml:space="preserve">Engagement archetype</w:t>
      </w:r>
    </w:p>
    <w:p>
      <w:pPr>
        <w:pStyle w:val="FirstParagraph"/>
      </w:pPr>
      <w:r>
        <w:t xml:space="preserve">A federal agency operating M365 in GCC-Moderate discovers — typically</w:t>
      </w:r>
      <w:r>
        <w:t xml:space="preserve"> </w:t>
      </w:r>
      <w:r>
        <w:t xml:space="preserve">late in an ATO cycle or during ZT analytics rollout — that a cluster</w:t>
      </w:r>
      <w:r>
        <w:t xml:space="preserve"> </w:t>
      </w:r>
      <w:r>
        <w:t xml:space="preserve">of features advertised in admin portals and referenced in the SSP do</w:t>
      </w:r>
      <w:r>
        <w:t xml:space="preserve"> </w:t>
      </w:r>
      <w:r>
        <w:t xml:space="preserve">not function as documented. The pattern matches the</w:t>
      </w:r>
      <w:r>
        <w:t xml:space="preserve"> </w:t>
      </w:r>
      <w:r>
        <w:t xml:space="preserve">GCC-Moderate Boundary Problem Statement:</w:t>
      </w:r>
      <w:r>
        <w:t xml:space="preserve"> </w:t>
      </w:r>
      <w:r>
        <w:t xml:space="preserve">features appear available, are described in commercial documentation,</w:t>
      </w:r>
      <w:r>
        <w:t xml:space="preserve"> </w:t>
      </w:r>
      <w:r>
        <w:t xml:space="preserve">and are referenced in migration plans, but silently produce no data,</w:t>
      </w:r>
      <w:r>
        <w:t xml:space="preserve"> </w:t>
      </w:r>
      <w:r>
        <w:t xml:space="preserve">emit no errors, and have no documented resolution path.</w:t>
      </w:r>
    </w:p>
    <w:p>
      <w:pPr>
        <w:pStyle w:val="BodyText"/>
      </w:pPr>
      <w:r>
        <w:t xml:space="preserve">The agency’s challenge is</w:t>
      </w:r>
      <w:r>
        <w:t xml:space="preserve"> </w:t>
      </w:r>
      <w:r>
        <w:rPr>
          <w:b/>
          <w:bCs/>
        </w:rPr>
        <w:t xml:space="preserve">structural</w:t>
      </w:r>
      <w:r>
        <w:t xml:space="preserve">, not configuration: the</w:t>
      </w:r>
      <w:r>
        <w:t xml:space="preserve"> </w:t>
      </w:r>
      <w:r>
        <w:t xml:space="preserve">authorization boundary itself attenuates outbound telemetry that</w:t>
      </w:r>
      <w:r>
        <w:t xml:space="preserve"> </w:t>
      </w:r>
      <w:r>
        <w:t xml:space="preserve">drives many of the platform’s higher-order analytics, and Microsoft</w:t>
      </w:r>
      <w:r>
        <w:t xml:space="preserve"> </w:t>
      </w:r>
      <w:r>
        <w:t xml:space="preserve">does not clearly document which features behave this way.</w:t>
      </w:r>
    </w:p>
    <w:bookmarkEnd w:id="16"/>
    <w:bookmarkStart w:id="17" w:name="starting-state-typical"/>
    <w:p>
      <w:pPr>
        <w:pStyle w:val="Heading2"/>
      </w:pPr>
      <w:r>
        <w:t xml:space="preserve">Starting state (typical)</w:t>
      </w:r>
    </w:p>
    <w:p>
      <w:pPr>
        <w:pStyle w:val="Compact"/>
        <w:numPr>
          <w:ilvl w:val="0"/>
          <w:numId w:val="1001"/>
        </w:numPr>
      </w:pPr>
      <w:r>
        <w:t xml:space="preserve">M365 GCC-Moderate tenant in production.</w:t>
      </w:r>
    </w:p>
    <w:p>
      <w:pPr>
        <w:pStyle w:val="Compact"/>
        <w:numPr>
          <w:ilvl w:val="0"/>
          <w:numId w:val="1001"/>
        </w:numPr>
      </w:pPr>
      <w:r>
        <w:t xml:space="preserve">SSP and migration plans reference features whose live behavior is</w:t>
      </w:r>
      <w:r>
        <w:t xml:space="preserve"> </w:t>
      </w:r>
      <w:r>
        <w:t xml:space="preserve">inconsistent with documentation.</w:t>
      </w:r>
    </w:p>
    <w:p>
      <w:pPr>
        <w:pStyle w:val="Compact"/>
        <w:numPr>
          <w:ilvl w:val="0"/>
          <w:numId w:val="1001"/>
        </w:numPr>
      </w:pPr>
      <w:r>
        <w:t xml:space="preserve">ZT analytics, anomaly detection, and insider-risk programs</w:t>
      </w:r>
      <w:r>
        <w:t xml:space="preserve"> </w:t>
      </w:r>
      <w:r>
        <w:t xml:space="preserve">partially blocked by silent telemetry gaps.</w:t>
      </w:r>
    </w:p>
    <w:p>
      <w:pPr>
        <w:pStyle w:val="Compact"/>
        <w:numPr>
          <w:ilvl w:val="0"/>
          <w:numId w:val="1001"/>
        </w:numPr>
      </w:pPr>
      <w:r>
        <w:t xml:space="preserve">Compliance posture nominally compliant; substrate observability</w:t>
      </w:r>
      <w:r>
        <w:t xml:space="preserve"> </w:t>
      </w:r>
      <w:r>
        <w:t xml:space="preserve">structurally below commercial peers.</w:t>
      </w:r>
    </w:p>
    <w:bookmarkEnd w:id="17"/>
    <w:bookmarkStart w:id="22" w:name="X7bff0bf18d8773c36fe167b13839987a354092a"/>
    <w:p>
      <w:pPr>
        <w:pStyle w:val="Heading2"/>
      </w:pPr>
      <w:r>
        <w:t xml:space="preserve">The Federal Modernization Program intervention pattern</w:t>
      </w:r>
    </w:p>
    <w:p>
      <w:pPr>
        <w:pStyle w:val="FirstParagraph"/>
      </w:pPr>
      <w:r>
        <w:t xml:space="preserve">The substrate addresses each impact dimension via in-boundary</w:t>
      </w:r>
      <w:r>
        <w:t xml:space="preserve"> </w:t>
      </w:r>
      <w:r>
        <w:t xml:space="preserve">mechanisms (per</w:t>
      </w:r>
      <w:r>
        <w:t xml:space="preserve"> </w:t>
      </w:r>
      <w:r>
        <w:rPr>
          <w:rStyle w:val="VerbatimChar"/>
        </w:rPr>
        <w:t xml:space="preserve">gcc-boundary-solution-architecture.qmd</w:t>
      </w:r>
      <w:r>
        <w:t xml:space="preserve">):</w:t>
      </w:r>
    </w:p>
    <w:bookmarkStart w:id="18" w:name="boundary-probe"/>
    <w:p>
      <w:pPr>
        <w:pStyle w:val="Heading3"/>
      </w:pPr>
      <w:r>
        <w:t xml:space="preserve">1. Boundary probe</w:t>
      </w:r>
    </w:p>
    <w:p>
      <w:pPr>
        <w:pStyle w:val="FirstParagraph"/>
      </w:pPr>
      <w:r>
        <w:t xml:space="preserve">A programmatic test of which features actually function on each side</w:t>
      </w:r>
      <w:r>
        <w:t xml:space="preserve"> </w:t>
      </w:r>
      <w:r>
        <w:t xml:space="preserve">of the boundary, producing structured capability disposition data</w:t>
      </w:r>
      <w:r>
        <w:t xml:space="preserve"> </w:t>
      </w:r>
      <w:r>
        <w:t xml:space="preserve">rather than relying on portal screenshots.</w:t>
      </w:r>
    </w:p>
    <w:bookmarkEnd w:id="18"/>
    <w:bookmarkStart w:id="19" w:name="in-boundary-telemetry"/>
    <w:p>
      <w:pPr>
        <w:pStyle w:val="Heading3"/>
      </w:pPr>
      <w:r>
        <w:t xml:space="preserve">2. In-boundary telemetry</w:t>
      </w:r>
    </w:p>
    <w:p>
      <w:pPr>
        <w:pStyle w:val="FirstParagraph"/>
      </w:pPr>
      <w:r>
        <w:t xml:space="preserve">Adapters operating inside GCC-Moderate emit canonical claims with</w:t>
      </w:r>
      <w:r>
        <w:t xml:space="preserve"> </w:t>
      </w:r>
      <w:r>
        <w:t xml:space="preserve">explicit</w:t>
      </w:r>
      <w:r>
        <w:t xml:space="preserve"> </w:t>
      </w:r>
      <w:r>
        <w:rPr>
          <w:rStyle w:val="VerbatimChar"/>
        </w:rPr>
        <w:t xml:space="preserve">source_classification: derived</w:t>
      </w:r>
      <w:r>
        <w:t xml:space="preserve"> </w:t>
      </w:r>
      <w:r>
        <w:t xml:space="preserve">for signals substituting</w:t>
      </w:r>
      <w:r>
        <w:t xml:space="preserve"> </w:t>
      </w:r>
      <w:r>
        <w:t xml:space="preserve">for unavailable commercial features. The provenance envelope makes</w:t>
      </w:r>
      <w:r>
        <w:t xml:space="preserve"> </w:t>
      </w:r>
      <w:r>
        <w:t xml:space="preserve">the substitution explicit; downstream consumers can see what is</w:t>
      </w:r>
      <w:r>
        <w:t xml:space="preserve"> </w:t>
      </w:r>
      <w:r>
        <w:t xml:space="preserve">authoritative vs. derived.</w:t>
      </w:r>
    </w:p>
    <w:bookmarkEnd w:id="19"/>
    <w:bookmarkStart w:id="20" w:name="compensating-enforcement"/>
    <w:p>
      <w:pPr>
        <w:pStyle w:val="Heading3"/>
      </w:pPr>
      <w:r>
        <w:t xml:space="preserve">3. Compensating enforcement</w:t>
      </w:r>
    </w:p>
    <w:p>
      <w:pPr>
        <w:pStyle w:val="FirstParagraph"/>
      </w:pPr>
      <w:r>
        <w:t xml:space="preserve">Agency-side enforcement adapters for controls that platform features</w:t>
      </w:r>
      <w:r>
        <w:t xml:space="preserve"> </w:t>
      </w:r>
      <w:r>
        <w:t xml:space="preserve">cannot deliver in-boundary. Their evidence flows through the same</w:t>
      </w:r>
      <w:r>
        <w:t xml:space="preserve"> </w:t>
      </w:r>
      <w:r>
        <w:t xml:space="preserve">canonical evidence chain.</w:t>
      </w:r>
    </w:p>
    <w:bookmarkEnd w:id="20"/>
    <w:bookmarkStart w:id="21" w:name="ato-documentation-surface"/>
    <w:p>
      <w:pPr>
        <w:pStyle w:val="Heading3"/>
      </w:pPr>
      <w:r>
        <w:t xml:space="preserve">4. ATO documentation surface</w:t>
      </w:r>
    </w:p>
    <w:p>
      <w:pPr>
        <w:pStyle w:val="FirstParagraph"/>
      </w:pPr>
      <w:r>
        <w:t xml:space="preserve">Boundary impact is captured as a</w:t>
      </w:r>
      <w:r>
        <w:t xml:space="preserve"> </w:t>
      </w:r>
      <w:r>
        <w:rPr>
          <w:b/>
          <w:bCs/>
        </w:rPr>
        <w:t xml:space="preserve">first-class artifact</w:t>
      </w:r>
      <w:r>
        <w:t xml:space="preserve"> </w:t>
      </w:r>
      <w:r>
        <w:t xml:space="preserve">that the</w:t>
      </w:r>
      <w:r>
        <w:t xml:space="preserve"> </w:t>
      </w:r>
      <w:r>
        <w:t xml:space="preserve">SSP, POA&amp;M, and Component Definition all reference. Specific feature</w:t>
      </w:r>
      <w:r>
        <w:t xml:space="preserve"> </w:t>
      </w:r>
      <w:r>
        <w:t xml:space="preserve">gaps become named, modeled, and drift-monitored objects rather than</w:t>
      </w:r>
      <w:r>
        <w:t xml:space="preserve"> </w:t>
      </w:r>
      <w:r>
        <w:t xml:space="preserve">implicit footnotes.</w:t>
      </w:r>
    </w:p>
    <w:bookmarkEnd w:id="21"/>
    <w:bookmarkEnd w:id="22"/>
    <w:bookmarkStart w:id="23" w:name="substrate-behaviors-observed-pattern"/>
    <w:p>
      <w:pPr>
        <w:pStyle w:val="Heading2"/>
      </w:pPr>
      <w:r>
        <w:t xml:space="preserve">Substrate behaviors observed (pattern)</w:t>
      </w:r>
    </w:p>
    <w:p>
      <w:pPr>
        <w:pStyle w:val="FirstParagraph"/>
      </w:pPr>
      <w:r>
        <w:t xml:space="preserve">A real engagement would document: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Capability disposition matrix</w:t>
      </w:r>
      <w:r>
        <w:t xml:space="preserve"> </w:t>
      </w:r>
      <w:r>
        <w:t xml:space="preserve">— for each cited M365 feature in</w:t>
      </w:r>
      <w:r>
        <w:t xml:space="preserve"> </w:t>
      </w:r>
      <w:r>
        <w:t xml:space="preserve">the SSP, the actual in-boundary disposition (functional / partial /</w:t>
      </w:r>
      <w:r>
        <w:t xml:space="preserve"> </w:t>
      </w:r>
      <w:r>
        <w:t xml:space="preserve">silent / blocked).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Telemetry-fidelity gap closure</w:t>
      </w:r>
      <w:r>
        <w:t xml:space="preserve"> </w:t>
      </w:r>
      <w:r>
        <w:t xml:space="preserve">— what percent of unavailable</w:t>
      </w:r>
      <w:r>
        <w:t xml:space="preserve"> </w:t>
      </w:r>
      <w:r>
        <w:t xml:space="preserve">signals are now substituted via in-boundary adapters with derived</w:t>
      </w:r>
      <w:r>
        <w:t xml:space="preserve"> </w:t>
      </w:r>
      <w:r>
        <w:t xml:space="preserve">classification.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Compensating-enforcement coverage</w:t>
      </w:r>
      <w:r>
        <w:t xml:space="preserve"> </w:t>
      </w:r>
      <w:r>
        <w:t xml:space="preserve">— which ZT controls are</w:t>
      </w:r>
      <w:r>
        <w:t xml:space="preserve"> </w:t>
      </w:r>
      <w:r>
        <w:t xml:space="preserve">agency-enforced via FMP-anchored adapters where platform features</w:t>
      </w:r>
      <w:r>
        <w:t xml:space="preserve"> </w:t>
      </w:r>
      <w:r>
        <w:t xml:space="preserve">are unavailable.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ATO package change</w:t>
      </w:r>
      <w:r>
        <w:t xml:space="preserve"> </w:t>
      </w:r>
      <w:r>
        <w:t xml:space="preserve">— net SSP/POA&amp;M edit volume to bring the</w:t>
      </w:r>
      <w:r>
        <w:t xml:space="preserve"> </w:t>
      </w:r>
      <w:r>
        <w:t xml:space="preserve">package into alignment with substrate truth.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3PAO re-execution outcome</w:t>
      </w:r>
      <w:r>
        <w:t xml:space="preserve"> </w:t>
      </w:r>
      <w:r>
        <w:t xml:space="preserve">— does the assessor’s independent</w:t>
      </w:r>
      <w:r>
        <w:t xml:space="preserve"> </w:t>
      </w:r>
      <w:r>
        <w:t xml:space="preserve">rerun produce a byte-identical bundle?</w:t>
      </w:r>
    </w:p>
    <w:bookmarkEnd w:id="23"/>
    <w:bookmarkStart w:id="24" w:name="Xa6b9317efcb6ea86c5c602dcf039f445c3b042a"/>
    <w:p>
      <w:pPr>
        <w:pStyle w:val="Heading2"/>
      </w:pPr>
      <w:r>
        <w:t xml:space="preserve">Why this is different from</w:t>
      </w:r>
      <w:r>
        <w:t xml:space="preserve"> </w:t>
      </w:r>
      <w:r>
        <w:t xml:space="preserve">“remediating findings”</w:t>
      </w:r>
    </w:p>
    <w:p>
      <w:pPr>
        <w:pStyle w:val="FirstParagraph"/>
      </w:pPr>
      <w:r>
        <w:t xml:space="preserve">Two distinctions matter: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The substrate names the boundary as a first-class object.</w:t>
      </w:r>
      <w:r>
        <w:t xml:space="preserve"> </w:t>
      </w:r>
      <w:r>
        <w:t xml:space="preserve">A</w:t>
      </w:r>
      <w:r>
        <w:t xml:space="preserve"> </w:t>
      </w:r>
      <w:r>
        <w:t xml:space="preserve">conventional remediation cycle treats each missing feature as an</w:t>
      </w:r>
      <w:r>
        <w:t xml:space="preserve"> </w:t>
      </w:r>
      <w:r>
        <w:t xml:space="preserve">isolated gap. The substrate treats the boundary itself as the</w:t>
      </w:r>
      <w:r>
        <w:t xml:space="preserve"> </w:t>
      </w:r>
      <w:r>
        <w:t xml:space="preserve">governed object, with the four impact dimensions as its</w:t>
      </w:r>
      <w:r>
        <w:t xml:space="preserve"> </w:t>
      </w:r>
      <w:r>
        <w:t xml:space="preserve">structured properties.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Compensating mechanisms become canonical, not bespoke.</w:t>
      </w:r>
      <w:r>
        <w:t xml:space="preserve"> </w:t>
      </w:r>
      <w:r>
        <w:t xml:space="preserve">Each</w:t>
      </w:r>
      <w:r>
        <w:t xml:space="preserve"> </w:t>
      </w:r>
      <w:r>
        <w:t xml:space="preserve">compensating adapter is registered, schema-validated, drift-</w:t>
      </w:r>
      <w:r>
        <w:t xml:space="preserve"> </w:t>
      </w:r>
      <w:r>
        <w:t xml:space="preserve">monitored, and OSCAL-emitted. The pattern survives staff</w:t>
      </w:r>
      <w:r>
        <w:t xml:space="preserve"> </w:t>
      </w:r>
      <w:r>
        <w:t xml:space="preserve">transitions and vendor changes.</w:t>
      </w:r>
    </w:p>
    <w:bookmarkEnd w:id="24"/>
    <w:bookmarkStart w:id="25" w:name="lessons-that-propagate-back-into-canon"/>
    <w:p>
      <w:pPr>
        <w:pStyle w:val="Heading2"/>
      </w:pPr>
      <w:r>
        <w:t xml:space="preserve">Lessons that propagate back into canon</w:t>
      </w:r>
    </w:p>
    <w:p>
      <w:pPr>
        <w:pStyle w:val="FirstParagraph"/>
      </w:pPr>
      <w:r>
        <w:t xml:space="preserve">A real engagement typically yields:</w:t>
      </w:r>
    </w:p>
    <w:p>
      <w:pPr>
        <w:pStyle w:val="Compact"/>
        <w:numPr>
          <w:ilvl w:val="0"/>
          <w:numId w:val="1004"/>
        </w:numPr>
      </w:pPr>
      <w:r>
        <w:t xml:space="preserve">New entries in the boundary capability disposition data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src/fmp/canon/data/gcc-moderate-telemetry-gaps.yaml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Refinements to the boundary impact model where new dimensions</w:t>
      </w:r>
      <w:r>
        <w:t xml:space="preserve"> </w:t>
      </w:r>
      <w:r>
        <w:t xml:space="preserve">emerge (rare, but possible — would require an ADR).</w:t>
      </w:r>
    </w:p>
    <w:p>
      <w:pPr>
        <w:pStyle w:val="Compact"/>
        <w:numPr>
          <w:ilvl w:val="0"/>
          <w:numId w:val="1004"/>
        </w:numPr>
      </w:pPr>
      <w:r>
        <w:t xml:space="preserve">Compensating-enforcement adapter additions to</w:t>
      </w:r>
      <w:r>
        <w:t xml:space="preserve"> </w:t>
      </w:r>
      <w:r>
        <w:rPr>
          <w:rStyle w:val="VerbatimChar"/>
        </w:rPr>
        <w:t xml:space="preserve">modernization-registry.yaml</w:t>
      </w:r>
      <w:r>
        <w:t xml:space="preserve">.</w:t>
      </w:r>
    </w:p>
    <w:bookmarkEnd w:id="25"/>
    <w:bookmarkStart w:id="26" w:name="promotion-to-real-engagement"/>
    <w:p>
      <w:pPr>
        <w:pStyle w:val="Heading2"/>
      </w:pPr>
      <w:r>
        <w:t xml:space="preserve">Promotion to</w:t>
      </w:r>
      <w:r>
        <w:t xml:space="preserve"> </w:t>
      </w:r>
      <w:r>
        <w:t xml:space="preserve">“real engagement”</w:t>
      </w:r>
    </w:p>
    <w:p>
      <w:pPr>
        <w:pStyle w:val="FirstParagraph"/>
      </w:pPr>
      <w:r>
        <w:t xml:space="preserve">Same posture as the identity case study: requires reviewed,</w:t>
      </w:r>
      <w:r>
        <w:t xml:space="preserve"> </w:t>
      </w:r>
      <w:r>
        <w:t xml:space="preserve">externally releasable material; canon-change traceability for cited</w:t>
      </w:r>
      <w:r>
        <w:t xml:space="preserve"> </w:t>
      </w:r>
      <w:r>
        <w:t xml:space="preserve">lessons; sponsor-side review and approval.</w:t>
      </w:r>
    </w:p>
    <w:bookmarkEnd w:id="26"/>
    <w:bookmarkStart w:id="28" w:name="related-documents"/>
    <w:p>
      <w:pPr>
        <w:pStyle w:val="Heading2"/>
      </w:pPr>
      <w:r>
        <w:t xml:space="preserve">Related documents</w:t>
      </w:r>
    </w:p>
    <w:p>
      <w:pPr>
        <w:pStyle w:val="Compact"/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Architecture Series — Boundary Impact Model</w:t>
        </w:r>
      </w:hyperlink>
    </w:p>
    <w:p>
      <w:pPr>
        <w:pStyle w:val="Compact"/>
        <w:numPr>
          <w:ilvl w:val="0"/>
          <w:numId w:val="1005"/>
        </w:numPr>
      </w:pPr>
      <w:r>
        <w:t xml:space="preserve">GCC-Moderate Problem Statement (canon)</w:t>
      </w:r>
    </w:p>
    <w:p>
      <w:pPr>
        <w:pStyle w:val="Compact"/>
        <w:numPr>
          <w:ilvl w:val="0"/>
          <w:numId w:val="1005"/>
        </w:numPr>
      </w:pPr>
      <w:r>
        <w:t xml:space="preserve">GCC-Moderate Solution Architecture (canon)</w:t>
      </w:r>
    </w:p>
    <w:p>
      <w:pPr>
        <w:pStyle w:val="Compact"/>
        <w:numPr>
          <w:ilvl w:val="0"/>
          <w:numId w:val="1005"/>
        </w:numPr>
      </w:pPr>
      <w:r>
        <w:t xml:space="preserve">B.1 GCC-Moderate Boundary Model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7" Target="../architecture/boundary-impact-model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../architecture/boundary-impact-model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Cloud Boundary — Case Study</dc:title>
  <dc:creator/>
  <cp:keywords/>
  <dcterms:created xsi:type="dcterms:W3CDTF">2026-10-19T10:09:16Z</dcterms:created>
  <dcterms:modified xsi:type="dcterms:W3CDTF">2026-10-19T10:09:16Z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reference">
    <vt:lpwstr/>
  </property>
  <property fmtid="{D5CDD505-2E9C-101B-9397-08002B2CF9AE}" pid="5" name="canon-source">
    <vt:lpwstr>docs/docs/gcc-boundary-solution-architecture.qmd</vt:lpwstr>
  </property>
  <property fmtid="{D5CDD505-2E9C-101B-9397-08002B2CF9AE}" pid="6" name="derived-from">
    <vt:lpwstr>fmp canon</vt:lpwstr>
  </property>
  <property fmtid="{D5CDD505-2E9C-101B-9397-08002B2CF9AE}" pid="7" name="doc-type">
    <vt:lpwstr>case-study-pattern</vt:lpwstr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labels">
    <vt:lpwstr/>
  </property>
  <property fmtid="{D5CDD505-2E9C-101B-9397-08002B2CF9AE}" pid="12" name="lifecycle">
    <vt:lpwstr>adopted</vt:lpwstr>
  </property>
  <property fmtid="{D5CDD505-2E9C-101B-9397-08002B2CF9AE}" pid="13" name="lifecycle_review">
    <vt:lpwstr>2026-11-22</vt:lpwstr>
  </property>
  <property fmtid="{D5CDD505-2E9C-101B-9397-08002B2CF9AE}" pid="14" name="status">
    <vt:lpwstr>framing-pattern</vt:lpwstr>
  </property>
  <property fmtid="{D5CDD505-2E9C-101B-9397-08002B2CF9AE}" pid="15" name="subtitle">
    <vt:lpwstr>Governing GCC Moderate compliance gaps with the Federal Modernization Program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