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cloud-boundary-framing-pattern"/>
    <w:p>
      <w:pPr>
        <w:pStyle w:val="Heading1"/>
      </w:pPr>
      <w:r>
        <w:t xml:space="preserve">Cloud Boundary — Framing Pattern</w:t>
      </w:r>
    </w:p>
    <w:p>
      <w:pPr>
        <w:pStyle w:val="FirstParagraph"/>
      </w:pPr>
      <w:r>
        <w:rPr>
          <w:b/>
          <w:bCs/>
        </w:rPr>
        <w:t xml:space="preserve">Government-cloud boundary establishment</w:t>
      </w:r>
    </w:p>
    <w:bookmarkStart w:id="9" w:name="starting-state"/>
    <w:p>
      <w:pPr>
        <w:pStyle w:val="Heading2"/>
      </w:pPr>
      <w:r>
        <w:t xml:space="preserve">Starting state</w:t>
      </w:r>
    </w:p>
    <w:p>
      <w:pPr>
        <w:pStyle w:val="FirstParagraph"/>
      </w:pPr>
      <w:r>
        <w:t xml:space="preserve">An agency operates a mix of on-premises systems and commercial cloud services. The authorization boundary is assumed rather than modeled. Traffic hairpins through a traditional perimeter. Local breakout is desired for latency but has not been governed.</w:t>
      </w:r>
    </w:p>
    <w:bookmarkEnd w:id="9"/>
    <w:bookmarkStart w:id="10" w:name="intervention"/>
    <w:p>
      <w:pPr>
        <w:pStyle w:val="Heading2"/>
      </w:pPr>
      <w:r>
        <w:t xml:space="preserve">Intervention</w:t>
      </w:r>
    </w:p>
    <w:p>
      <w:pPr>
        <w:pStyle w:val="FirstParagraph"/>
      </w:pPr>
      <w:r>
        <w:t xml:space="preserve">The boundary is modeled explicitly. Local breakout is permitted only when the security-capabilities catalog is satisfied at a distributed policy enforcement point. The policy enforcement point’s location is treated as a physics and compliance decision, not a product feature.</w:t>
      </w:r>
    </w:p>
    <w:bookmarkEnd w:id="10"/>
    <w:bookmarkStart w:id="11" w:name="observed-behavior-intended"/>
    <w:p>
      <w:pPr>
        <w:pStyle w:val="Heading2"/>
      </w:pPr>
      <w:r>
        <w:t xml:space="preserve">Observed behavior (intended)</w:t>
      </w:r>
    </w:p>
    <w:p>
      <w:pPr>
        <w:pStyle w:val="FirstParagraph"/>
      </w:pPr>
      <w:r>
        <w:t xml:space="preserve">Branch traffic egresses locally only when the catalog is satisfied. Telemetry obligations to the federal monitoring program continue. The authorization package cites a modeled boundary rather than an assumed one.</w:t>
      </w:r>
    </w:p>
    <w:bookmarkEnd w:id="11"/>
    <w:bookmarkStart w:id="12" w:name="lessons"/>
    <w:p>
      <w:pPr>
        <w:pStyle w:val="Heading2"/>
      </w:pPr>
      <w:r>
        <w:t xml:space="preserve">Lessons</w:t>
      </w:r>
    </w:p>
    <w:p>
      <w:pPr>
        <w:pStyle w:val="Compact"/>
        <w:numPr>
          <w:ilvl w:val="0"/>
          <w:numId w:val="1001"/>
        </w:numPr>
      </w:pPr>
      <w:r>
        <w:t xml:space="preserve">Transport is a physics decision; control is a compliance decision.</w:t>
      </w:r>
    </w:p>
    <w:p>
      <w:pPr>
        <w:pStyle w:val="Compact"/>
        <w:numPr>
          <w:ilvl w:val="0"/>
          <w:numId w:val="1001"/>
        </w:numPr>
      </w:pPr>
      <w:r>
        <w:t xml:space="preserve">Bare local breakout without a governing control plane is a compliance regression.</w:t>
      </w:r>
    </w:p>
    <w:p>
      <w:pPr>
        <w:pStyle w:val="Compact"/>
        <w:numPr>
          <w:ilvl w:val="0"/>
          <w:numId w:val="1001"/>
        </w:numPr>
      </w:pPr>
      <w:r>
        <w:t xml:space="preserve">The governor itself is attack surface and must be protected.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framing pattern for project use. Not a deployed reference. No internal branding or document identifiers.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2026-10-19T10:09:17Z</dcterms:created>
  <dcterms:modified xsi:type="dcterms:W3CDTF">2026-10-19T10:09:17Z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