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Federal Modernization — Case Study</w:t>
      </w:r>
    </w:p>
    <w:p>
      <w:pPr>
        <w:pStyle w:val="Subtitle"/>
      </w:pPr>
      <w:r>
        <w:t xml:space="preserve">End-to-end federal agency modernization governance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2" w:name="federal-modernization-case-study"/>
    <w:p>
      <w:pPr>
        <w:pStyle w:val="Heading1"/>
      </w:pPr>
      <w:r>
        <w:t xml:space="preserve">Federal Modernization — Case Study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Framing pattern, not a fabricated engagement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page is the</w:t>
            </w:r>
            <w:r>
              <w:t xml:space="preserve"> </w:t>
            </w:r>
            <w:r>
              <w:rPr>
                <w:b/>
                <w:bCs/>
              </w:rPr>
              <w:t xml:space="preserve">canonical engagement pattern</w:t>
            </w:r>
            <w:r>
              <w:t xml:space="preserve"> </w:t>
            </w:r>
            <w:r>
              <w:t xml:space="preserve">for an end-to-end</w:t>
            </w:r>
            <w:r>
              <w:t xml:space="preserve"> </w:t>
            </w:r>
            <w:r>
              <w:t xml:space="preserve">federal-agency modernization case study. Specific agency identifiers,</w:t>
            </w:r>
            <w:r>
              <w:t xml:space="preserve"> </w:t>
            </w:r>
            <w:r>
              <w:t xml:space="preserve">metrics, and timelines are intentionally absent until real engagement</w:t>
            </w:r>
            <w:r>
              <w:t xml:space="preserve"> </w:t>
            </w:r>
            <w:r>
              <w:t xml:space="preserve">material is reviewed and cleared for external release.</w:t>
            </w:r>
          </w:p>
          <w:p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5" w:name="Xeb8b0c63943faa8dc5481297e0e3d70493bc5d0"/>
          <w:p>
            <w:pPr>
              <w:pStyle w:val="Compact"/>
              <w:jc w:val="center"/>
            </w:pPr>
            <w:r>
              <w:drawing>
                <wp:inline>
                  <wp:extent cx="5334000" cy="53340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../images/case-studies/federal-modernization-case-study-image-01-end-to-end-federal-modernization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End-to-end federal modernization engagement diagram</w:t>
            </w:r>
          </w:p>
          <w:bookmarkEnd w:id="15"/>
        </w:tc>
      </w:tr>
    </w:tbl>
    <w:bookmarkStart w:id="16" w:name="engagement-archetype"/>
    <w:p>
      <w:pPr>
        <w:pStyle w:val="Heading2"/>
      </w:pPr>
      <w:r>
        <w:t xml:space="preserve">Engagement archetype</w:t>
      </w:r>
    </w:p>
    <w:p>
      <w:pPr>
        <w:pStyle w:val="FirstParagraph"/>
      </w:pPr>
      <w:r>
        <w:t xml:space="preserve">A federal agency executes a multi-quarter modernization program</w:t>
      </w:r>
      <w:r>
        <w:t xml:space="preserve"> </w:t>
      </w:r>
      <w:r>
        <w:t xml:space="preserve">spanning identity, cloud boundary, telemetry, and zero-trust</w:t>
      </w:r>
      <w:r>
        <w:t xml:space="preserve"> </w:t>
      </w:r>
      <w:r>
        <w:t xml:space="preserve">controls. The program touches every concern in the</w:t>
      </w:r>
      <w:r>
        <w:t xml:space="preserve"> </w:t>
      </w:r>
      <w:r>
        <w:t xml:space="preserve">Executive Governance Series:</w:t>
      </w:r>
      <w:r>
        <w:t xml:space="preserve"> </w:t>
      </w:r>
      <w:r>
        <w:t xml:space="preserve">fragmented identity, uncorrelated telemetry, point-in-time evidence,</w:t>
      </w:r>
      <w:r>
        <w:t xml:space="preserve"> </w:t>
      </w:r>
      <w:r>
        <w:t xml:space="preserve">boundary opacity. The Federal Modernization Program’s intervention is structural — adopting the</w:t>
      </w:r>
      <w:r>
        <w:t xml:space="preserve"> </w:t>
      </w:r>
      <w:r>
        <w:t xml:space="preserve">substrate as the governance layer underneath the existing tool stack</w:t>
      </w:r>
      <w:r>
        <w:t xml:space="preserve"> </w:t>
      </w:r>
      <w:r>
        <w:t xml:space="preserve">rather than replacing tools individually.</w:t>
      </w:r>
    </w:p>
    <w:p>
      <w:pPr>
        <w:pStyle w:val="BodyText"/>
      </w:pPr>
      <w:r>
        <w:t xml:space="preserve">This is the engagement archetype the substrate is designed for: an</w:t>
      </w:r>
      <w:r>
        <w:t xml:space="preserve"> </w:t>
      </w:r>
      <w:r>
        <w:t xml:space="preserve">agency at the scale where per-tool governance has become structurally</w:t>
      </w:r>
      <w:r>
        <w:t xml:space="preserve"> </w:t>
      </w:r>
      <w:r>
        <w:t xml:space="preserve">infeasible.</w:t>
      </w:r>
    </w:p>
    <w:bookmarkEnd w:id="16"/>
    <w:bookmarkStart w:id="17" w:name="starting-state-typical"/>
    <w:p>
      <w:pPr>
        <w:pStyle w:val="Heading2"/>
      </w:pPr>
      <w:r>
        <w:t xml:space="preserve">Starting state (typical)</w:t>
      </w:r>
    </w:p>
    <w:p>
      <w:pPr>
        <w:pStyle w:val="Compact"/>
        <w:numPr>
          <w:ilvl w:val="0"/>
          <w:numId w:val="1001"/>
        </w:numPr>
      </w:pPr>
      <w:r>
        <w:t xml:space="preserve">Multi-cloud tenancy (M365 GCC-Moderate primary, named-exception</w:t>
      </w:r>
      <w:r>
        <w:t xml:space="preserve"> </w:t>
      </w:r>
      <w:r>
        <w:t xml:space="preserve">workloads).</w:t>
      </w:r>
    </w:p>
    <w:p>
      <w:pPr>
        <w:pStyle w:val="Compact"/>
        <w:numPr>
          <w:ilvl w:val="0"/>
          <w:numId w:val="1001"/>
        </w:numPr>
      </w:pPr>
      <w:r>
        <w:t xml:space="preserve">AD environment in active migration to Entra ID.</w:t>
      </w:r>
    </w:p>
    <w:p>
      <w:pPr>
        <w:pStyle w:val="Compact"/>
        <w:numPr>
          <w:ilvl w:val="0"/>
          <w:numId w:val="1001"/>
        </w:numPr>
      </w:pPr>
      <w:r>
        <w:t xml:space="preserve">ZT program running per-pillar with limited cross-pillar</w:t>
      </w:r>
      <w:r>
        <w:t xml:space="preserve"> </w:t>
      </w:r>
      <w:r>
        <w:t xml:space="preserve">correlation.</w:t>
      </w:r>
    </w:p>
    <w:p>
      <w:pPr>
        <w:pStyle w:val="Compact"/>
        <w:numPr>
          <w:ilvl w:val="0"/>
          <w:numId w:val="1001"/>
        </w:numPr>
      </w:pPr>
      <w:r>
        <w:t xml:space="preserve">ATO package authored manually against a control catalog; per-cycle</w:t>
      </w:r>
      <w:r>
        <w:t xml:space="preserve"> </w:t>
      </w:r>
      <w:r>
        <w:t xml:space="preserve">re-engineering.</w:t>
      </w:r>
    </w:p>
    <w:p>
      <w:pPr>
        <w:pStyle w:val="Compact"/>
        <w:numPr>
          <w:ilvl w:val="0"/>
          <w:numId w:val="1001"/>
        </w:numPr>
      </w:pPr>
      <w:r>
        <w:t xml:space="preserve">Telemetry from 20+ tools, normalized partially in a SIEM.</w:t>
      </w:r>
    </w:p>
    <w:p>
      <w:pPr>
        <w:pStyle w:val="Compact"/>
        <w:numPr>
          <w:ilvl w:val="0"/>
          <w:numId w:val="1001"/>
        </w:numPr>
      </w:pPr>
      <w:r>
        <w:t xml:space="preserve">Compliance findings backlog with multi-year tail.</w:t>
      </w:r>
    </w:p>
    <w:bookmarkEnd w:id="17"/>
    <w:bookmarkStart w:id="26" w:name="X7bff0bf18d8773c36fe167b13839987a354092a"/>
    <w:p>
      <w:pPr>
        <w:pStyle w:val="Heading2"/>
      </w:pPr>
      <w:r>
        <w:t xml:space="preserve">The Federal Modernization Program intervention pattern</w:t>
      </w:r>
    </w:p>
    <w:bookmarkStart w:id="18" w:name="phase-1-substrate-adoption"/>
    <w:p>
      <w:pPr>
        <w:pStyle w:val="Heading3"/>
      </w:pPr>
      <w:r>
        <w:t xml:space="preserve">Phase 1 — substrate adoption</w:t>
      </w:r>
    </w:p>
    <w:p>
      <w:pPr>
        <w:pStyle w:val="FirstParagraph"/>
      </w:pPr>
      <w:r>
        <w:t xml:space="preserve">Install the</w:t>
      </w:r>
      <w:r>
        <w:t xml:space="preserve"> </w:t>
      </w:r>
      <w:r>
        <w:rPr>
          <w:rStyle w:val="VerbatimChar"/>
        </w:rPr>
        <w:t xml:space="preserve">fmp</w:t>
      </w:r>
      <w:r>
        <w:t xml:space="preserve"> </w:t>
      </w:r>
      <w:r>
        <w:t xml:space="preserve">package; run</w:t>
      </w:r>
      <w:r>
        <w:t xml:space="preserve"> </w:t>
      </w:r>
      <w:r>
        <w:rPr>
          <w:rStyle w:val="VerbatimChar"/>
        </w:rPr>
        <w:t xml:space="preserve">fmp substrate walk</w:t>
      </w:r>
      <w:r>
        <w:t xml:space="preserve"> </w:t>
      </w:r>
      <w:r>
        <w:t xml:space="preserve">against the</w:t>
      </w:r>
      <w:r>
        <w:t xml:space="preserve"> </w:t>
      </w:r>
      <w:r>
        <w:t xml:space="preserve">agency’s tree; author a substrate manifest naming the agency’s</w:t>
      </w:r>
      <w:r>
        <w:t xml:space="preserve"> </w:t>
      </w:r>
      <w:r>
        <w:t xml:space="preserve">modules. Schema-validation gates land in CI for canon edits. Net</w:t>
      </w:r>
      <w:r>
        <w:t xml:space="preserve"> </w:t>
      </w:r>
      <w:r>
        <w:t xml:space="preserve">effect: structural drift becomes visible.</w:t>
      </w:r>
    </w:p>
    <w:bookmarkEnd w:id="18"/>
    <w:bookmarkStart w:id="21" w:name="phase-2-identity-modernization"/>
    <w:p>
      <w:pPr>
        <w:pStyle w:val="Heading3"/>
      </w:pPr>
      <w:r>
        <w:t xml:space="preserve">Phase 2 — identity modernization</w:t>
      </w:r>
    </w:p>
    <w:p>
      <w:pPr>
        <w:pStyle w:val="FirstParagraph"/>
      </w:pPr>
      <w:r>
        <w:t xml:space="preserve">Apply the identity-modernization pattern (see</w:t>
      </w:r>
      <w:r>
        <w:t xml:space="preserve"> </w:t>
      </w:r>
      <w:hyperlink r:id="rId19">
        <w:r>
          <w:rPr>
            <w:rStyle w:val="Hyperlink"/>
          </w:rPr>
          <w:t xml:space="preserve">Identity Case Study</w:t>
        </w:r>
      </w:hyperlink>
      <w:r>
        <w:t xml:space="preserve"> </w:t>
      </w:r>
      <w:r>
        <w:t xml:space="preserve">and</w:t>
      </w:r>
      <w:r>
        <w:t xml:space="preserve"> </w:t>
      </w:r>
      <w:hyperlink r:id="rId20">
        <w:r>
          <w:rPr>
            <w:rStyle w:val="Hyperlink"/>
          </w:rPr>
          <w:t xml:space="preserve">Modernization Governance Whitepaper</w:t>
        </w:r>
      </w:hyperlink>
      <w:r>
        <w:t xml:space="preserve">):</w:t>
      </w:r>
      <w:r>
        <w:t xml:space="preserve"> </w:t>
      </w:r>
      <w:r>
        <w:t xml:space="preserve">canon-first attributes, modernization adapters, drift-driven</w:t>
      </w:r>
      <w:r>
        <w:t xml:space="preserve"> </w:t>
      </w:r>
      <w:r>
        <w:t xml:space="preserve">cleanup, cutover, post-cutover.</w:t>
      </w:r>
    </w:p>
    <w:bookmarkEnd w:id="21"/>
    <w:bookmarkStart w:id="23" w:name="phase-3-boundary-treatment"/>
    <w:p>
      <w:pPr>
        <w:pStyle w:val="Heading3"/>
      </w:pPr>
      <w:r>
        <w:t xml:space="preserve">Phase 3 — boundary treatment</w:t>
      </w:r>
    </w:p>
    <w:p>
      <w:pPr>
        <w:pStyle w:val="FirstParagraph"/>
      </w:pPr>
      <w:r>
        <w:t xml:space="preserve">Apply the cloud-boundary pattern (see</w:t>
      </w:r>
      <w:r>
        <w:t xml:space="preserve"> </w:t>
      </w:r>
      <w:hyperlink r:id="rId22">
        <w:r>
          <w:rPr>
            <w:rStyle w:val="Hyperlink"/>
          </w:rPr>
          <w:t xml:space="preserve">Cloud Boundary Case Study</w:t>
        </w:r>
      </w:hyperlink>
      <w:r>
        <w:t xml:space="preserve">): boundary</w:t>
      </w:r>
      <w:r>
        <w:t xml:space="preserve"> </w:t>
      </w:r>
      <w:r>
        <w:t xml:space="preserve">probe, in-boundary telemetry, compensating enforcement, ATO</w:t>
      </w:r>
      <w:r>
        <w:t xml:space="preserve"> </w:t>
      </w:r>
      <w:r>
        <w:t xml:space="preserve">documentation surface.</w:t>
      </w:r>
    </w:p>
    <w:bookmarkEnd w:id="23"/>
    <w:bookmarkStart w:id="24" w:name="phase-4-continuous-drift-tempo"/>
    <w:p>
      <w:pPr>
        <w:pStyle w:val="Heading3"/>
      </w:pPr>
      <w:r>
        <w:t xml:space="preserve">Phase 4 — continuous drift tempo</w:t>
      </w:r>
    </w:p>
    <w:p>
      <w:pPr>
        <w:pStyle w:val="FirstParagraph"/>
      </w:pPr>
      <w:r>
        <w:t xml:space="preserve">Operationalize the canonical SLA tempo (P1 immediate / P2 1hr / P3</w:t>
      </w:r>
      <w:r>
        <w:t xml:space="preserve"> </w:t>
      </w:r>
      <w:r>
        <w:t xml:space="preserve">24hr / P4 72hr). Auto-remediation handles deterministic findings;</w:t>
      </w:r>
      <w:r>
        <w:t xml:space="preserve"> </w:t>
      </w:r>
      <w:r>
        <w:t xml:space="preserve">escalations land at named roles per the drift standard.</w:t>
      </w:r>
    </w:p>
    <w:bookmarkEnd w:id="24"/>
    <w:bookmarkStart w:id="25" w:name="phase-5-ato-package-migration"/>
    <w:p>
      <w:pPr>
        <w:pStyle w:val="Heading3"/>
      </w:pPr>
      <w:r>
        <w:t xml:space="preserve">Phase 5 — ATO package migration</w:t>
      </w:r>
    </w:p>
    <w:p>
      <w:pPr>
        <w:pStyle w:val="FirstParagraph"/>
      </w:pPr>
      <w:r>
        <w:t xml:space="preserve">Migrate the ATO package from attestation-anchored to substrate-</w:t>
      </w:r>
      <w:r>
        <w:t xml:space="preserve"> </w:t>
      </w:r>
      <w:r>
        <w:t xml:space="preserve">anchored. SSP, POA&amp;M, KSI dashboards, and Component Definitions emit</w:t>
      </w:r>
      <w:r>
        <w:t xml:space="preserve"> </w:t>
      </w:r>
      <w:r>
        <w:t xml:space="preserve">deterministically from canon plus telemetry. Attestations remain in</w:t>
      </w:r>
      <w:r>
        <w:t xml:space="preserve"> </w:t>
      </w:r>
      <w:r>
        <w:t xml:space="preserve">the package as the human accountability wrapper but are no longer</w:t>
      </w:r>
      <w:r>
        <w:t xml:space="preserve"> </w:t>
      </w:r>
      <w:r>
        <w:t xml:space="preserve">the primary verification surface.</w:t>
      </w:r>
    </w:p>
    <w:bookmarkEnd w:id="25"/>
    <w:bookmarkEnd w:id="26"/>
    <w:bookmarkStart w:id="27" w:name="substrate-behaviors-observed-pattern"/>
    <w:p>
      <w:pPr>
        <w:pStyle w:val="Heading2"/>
      </w:pPr>
      <w:r>
        <w:t xml:space="preserve">Substrate behaviors observed (pattern)</w:t>
      </w:r>
    </w:p>
    <w:p>
      <w:pPr>
        <w:pStyle w:val="FirstParagraph"/>
      </w:pPr>
      <w:r>
        <w:t xml:space="preserve">A real engagement would document: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Drift findings rate over time</w:t>
      </w:r>
      <w:r>
        <w:t xml:space="preserve"> </w:t>
      </w:r>
      <w:r>
        <w:t xml:space="preserve">— by class and severity, across</w:t>
      </w:r>
      <w:r>
        <w:t xml:space="preserve"> </w:t>
      </w:r>
      <w:r>
        <w:t xml:space="preserve">the program.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SLA adherence</w:t>
      </w:r>
      <w:r>
        <w:t xml:space="preserve"> </w:t>
      </w:r>
      <w:r>
        <w:t xml:space="preserve">— fraction of findings remediated within</w:t>
      </w:r>
      <w:r>
        <w:t xml:space="preserve"> </w:t>
      </w:r>
      <w:r>
        <w:t xml:space="preserve">canonical SLA per tier.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Canon-change ADR cadence</w:t>
      </w:r>
      <w:r>
        <w:t xml:space="preserve"> </w:t>
      </w:r>
      <w:r>
        <w:t xml:space="preserve">— how often the program produces</w:t>
      </w:r>
      <w:r>
        <w:t xml:space="preserve"> </w:t>
      </w:r>
      <w:r>
        <w:t xml:space="preserve">canon-change ADRs vs. operational PRs (a measure of substrate</w:t>
      </w:r>
      <w:r>
        <w:t xml:space="preserve"> </w:t>
      </w:r>
      <w:r>
        <w:t xml:space="preserve">maturity).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ATO package regeneration time</w:t>
      </w:r>
      <w:r>
        <w:t xml:space="preserve"> </w:t>
      </w:r>
      <w:r>
        <w:t xml:space="preserve">— wall-clock time from</w:t>
      </w:r>
      <w:r>
        <w:t xml:space="preserve"> </w:t>
      </w:r>
      <w:r>
        <w:t xml:space="preserve">“decide</w:t>
      </w:r>
      <w:r>
        <w:t xml:space="preserve"> </w:t>
      </w:r>
      <w:r>
        <w:t xml:space="preserve">to regenerate”</w:t>
      </w:r>
      <w:r>
        <w:t xml:space="preserve"> </w:t>
      </w:r>
      <w:r>
        <w:t xml:space="preserve">to</w:t>
      </w:r>
      <w:r>
        <w:t xml:space="preserve"> </w:t>
      </w:r>
      <w:r>
        <w:t xml:space="preserve">“bundle hash matches expected”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3PAO re-execution outcome</w:t>
      </w:r>
      <w:r>
        <w:t xml:space="preserve"> </w:t>
      </w:r>
      <w:r>
        <w:t xml:space="preserve">— independent verifiability of</w:t>
      </w:r>
      <w:r>
        <w:t xml:space="preserve"> </w:t>
      </w:r>
      <w:r>
        <w:t xml:space="preserve">evidence months after assembly.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Net tool count change</w:t>
      </w:r>
      <w:r>
        <w:t xml:space="preserve"> </w:t>
      </w:r>
      <w:r>
        <w:t xml:space="preserve">— substrate adoption typically reduces</w:t>
      </w:r>
      <w:r>
        <w:t xml:space="preserve"> </w:t>
      </w:r>
      <w:r>
        <w:t xml:space="preserve">tool count by retiring parallel governance machinery.</w:t>
      </w:r>
    </w:p>
    <w:p>
      <w:pPr>
        <w:pStyle w:val="FirstParagraph"/>
      </w:pPr>
      <w:r>
        <w:t xml:space="preserve">These are the metrics a credible federal modernization case study</w:t>
      </w:r>
      <w:r>
        <w:t xml:space="preserve"> </w:t>
      </w:r>
      <w:r>
        <w:t xml:space="preserve">needs.</w:t>
      </w:r>
    </w:p>
    <w:bookmarkEnd w:id="27"/>
    <w:bookmarkStart w:id="28" w:name="Xad65471c9a39f6bb85fa3b891b51a3bbaa06b17"/>
    <w:p>
      <w:pPr>
        <w:pStyle w:val="Heading2"/>
      </w:pPr>
      <w:r>
        <w:t xml:space="preserve">Why this engagement is structurally different</w:t>
      </w:r>
    </w:p>
    <w:p>
      <w:pPr>
        <w:pStyle w:val="FirstParagraph"/>
      </w:pPr>
      <w:r>
        <w:t xml:space="preserve">Three properties distinguish a substrate-anchored modernization from</w:t>
      </w:r>
      <w:r>
        <w:t xml:space="preserve"> </w:t>
      </w:r>
      <w:r>
        <w:t xml:space="preserve">a tool-stack modernization: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Canon survives the modernization.</w:t>
      </w:r>
      <w:r>
        <w:t xml:space="preserve"> </w:t>
      </w:r>
      <w:r>
        <w:t xml:space="preserve">Tools change, vendors</w:t>
      </w:r>
      <w:r>
        <w:t xml:space="preserve"> </w:t>
      </w:r>
      <w:r>
        <w:t xml:space="preserve">change, platforms change. Canon does not — or, when it changes,</w:t>
      </w:r>
      <w:r>
        <w:t xml:space="preserve"> </w:t>
      </w:r>
      <w:r>
        <w:t xml:space="preserve">it changes through a governed ADR process. The agency’s</w:t>
      </w:r>
      <w:r>
        <w:t xml:space="preserve"> </w:t>
      </w:r>
      <w:r>
        <w:t xml:space="preserve">investment in canon authoring compounds.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Evidence is regenerable.</w:t>
      </w:r>
      <w:r>
        <w:t xml:space="preserve"> </w:t>
      </w:r>
      <w:r>
        <w:t xml:space="preserve">The agency does not have to keep</w:t>
      </w:r>
      <w:r>
        <w:t xml:space="preserve"> </w:t>
      </w:r>
      <w:r>
        <w:t xml:space="preserve">point-in-time bundles indefinitely; they regenerate from canon</w:t>
      </w:r>
      <w:r>
        <w:t xml:space="preserve"> </w:t>
      </w:r>
      <w:r>
        <w:t xml:space="preserve">plus archived inputs. Cost of long-term audit retention drops.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Drift is the operational signal.</w:t>
      </w:r>
      <w:r>
        <w:t xml:space="preserve"> </w:t>
      </w:r>
      <w:r>
        <w:t xml:space="preserve">The substrate’s findings</w:t>
      </w:r>
      <w:r>
        <w:t xml:space="preserve"> </w:t>
      </w:r>
      <w:r>
        <w:t xml:space="preserve">replace the agency’s pre-existing patchwork of audit-cycle gap</w:t>
      </w:r>
      <w:r>
        <w:t xml:space="preserve"> </w:t>
      </w:r>
      <w:r>
        <w:t xml:space="preserve">discovery. SOC and governance operations move to the same</w:t>
      </w:r>
      <w:r>
        <w:t xml:space="preserve"> </w:t>
      </w:r>
      <w:r>
        <w:t xml:space="preserve">canonical taxonomy.</w:t>
      </w:r>
    </w:p>
    <w:bookmarkEnd w:id="28"/>
    <w:bookmarkStart w:id="29" w:name="lessons-that-propagate-back-into-canon"/>
    <w:p>
      <w:pPr>
        <w:pStyle w:val="Heading2"/>
      </w:pPr>
      <w:r>
        <w:t xml:space="preserve">Lessons that propagate back into canon</w:t>
      </w:r>
    </w:p>
    <w:p>
      <w:pPr>
        <w:pStyle w:val="FirstParagraph"/>
      </w:pPr>
      <w:r>
        <w:t xml:space="preserve">A real engagement typically yields the most diverse lesson set of</w:t>
      </w:r>
      <w:r>
        <w:t xml:space="preserve"> </w:t>
      </w:r>
      <w:r>
        <w:t xml:space="preserve">any case-study pattern:</w:t>
      </w:r>
    </w:p>
    <w:p>
      <w:pPr>
        <w:pStyle w:val="Compact"/>
        <w:numPr>
          <w:ilvl w:val="0"/>
          <w:numId w:val="1004"/>
        </w:numPr>
      </w:pPr>
      <w:r>
        <w:t xml:space="preserve">Canonical attribute refinements (identity).</w:t>
      </w:r>
    </w:p>
    <w:p>
      <w:pPr>
        <w:pStyle w:val="Compact"/>
        <w:numPr>
          <w:ilvl w:val="0"/>
          <w:numId w:val="1004"/>
        </w:numPr>
      </w:pPr>
      <w:r>
        <w:t xml:space="preserve">Boundary capability disposition updates (cloud).</w:t>
      </w:r>
    </w:p>
    <w:p>
      <w:pPr>
        <w:pStyle w:val="Compact"/>
        <w:numPr>
          <w:ilvl w:val="0"/>
          <w:numId w:val="1004"/>
        </w:numPr>
      </w:pPr>
      <w:r>
        <w:t xml:space="preserve">New compensating-enforcement adapters (ZT, M365 features).</w:t>
      </w:r>
    </w:p>
    <w:p>
      <w:pPr>
        <w:pStyle w:val="Compact"/>
        <w:numPr>
          <w:ilvl w:val="0"/>
          <w:numId w:val="1004"/>
        </w:numPr>
      </w:pPr>
      <w:r>
        <w:t xml:space="preserve">Operational-tempo tuning (canonical SLA tiers vs. agency</w:t>
      </w:r>
      <w:r>
        <w:t xml:space="preserve"> </w:t>
      </w:r>
      <w:r>
        <w:t xml:space="preserve">staffing).</w:t>
      </w:r>
    </w:p>
    <w:p>
      <w:pPr>
        <w:pStyle w:val="Compact"/>
        <w:numPr>
          <w:ilvl w:val="0"/>
          <w:numId w:val="1004"/>
        </w:numPr>
      </w:pPr>
      <w:r>
        <w:t xml:space="preserve">ATO-package emission improvements (OSCAL fidelity).</w:t>
      </w:r>
    </w:p>
    <w:p>
      <w:pPr>
        <w:pStyle w:val="FirstParagraph"/>
      </w:pPr>
      <w:r>
        <w:t xml:space="preserve">Each lesson lands as an ADR, canon-document update, or</w:t>
      </w:r>
      <w:r>
        <w:t xml:space="preserve"> </w:t>
      </w:r>
      <w:r>
        <w:t xml:space="preserve">adapter-registry change. The case study, when complete, becomes a</w:t>
      </w:r>
      <w:r>
        <w:t xml:space="preserve"> </w:t>
      </w:r>
      <w:r>
        <w:t xml:space="preserve">provenance source for all five.</w:t>
      </w:r>
    </w:p>
    <w:bookmarkEnd w:id="29"/>
    <w:bookmarkStart w:id="30" w:name="promotion-to-real-engagement"/>
    <w:p>
      <w:pPr>
        <w:pStyle w:val="Heading2"/>
      </w:pPr>
      <w:r>
        <w:t xml:space="preserve">Promotion to</w:t>
      </w:r>
      <w:r>
        <w:t xml:space="preserve"> </w:t>
      </w:r>
      <w:r>
        <w:t xml:space="preserve">“real engagement”</w:t>
      </w:r>
    </w:p>
    <w:p>
      <w:pPr>
        <w:pStyle w:val="FirstParagraph"/>
      </w:pPr>
      <w:r>
        <w:t xml:space="preserve">Same posture as the identity and cloud-boundary case studies:</w:t>
      </w:r>
      <w:r>
        <w:t xml:space="preserve"> </w:t>
      </w:r>
      <w:r>
        <w:t xml:space="preserve">requires reviewed, externally releasable material; canon-change</w:t>
      </w:r>
      <w:r>
        <w:t xml:space="preserve"> </w:t>
      </w:r>
      <w:r>
        <w:t xml:space="preserve">traceability for cited lessons; sponsor-side review and approval.</w:t>
      </w:r>
    </w:p>
    <w:p>
      <w:pPr>
        <w:pStyle w:val="BodyText"/>
      </w:pPr>
      <w:r>
        <w:t xml:space="preserve">End-to-end engagements are the most demanding case studies to</w:t>
      </w:r>
      <w:r>
        <w:t xml:space="preserve"> </w:t>
      </w:r>
      <w:r>
        <w:t xml:space="preserve">externalize because the lesson set is broad and the engagement</w:t>
      </w:r>
      <w:r>
        <w:t xml:space="preserve"> </w:t>
      </w:r>
      <w:r>
        <w:t xml:space="preserve">material is sensitive. The substrate’s case study posture is</w:t>
      </w:r>
      <w:r>
        <w:t xml:space="preserve"> </w:t>
      </w:r>
      <w:r>
        <w:t xml:space="preserve">honest about this — the</w:t>
      </w:r>
      <w:r>
        <w:t xml:space="preserve"> </w:t>
      </w:r>
      <w:r>
        <w:rPr>
          <w:i/>
          <w:iCs/>
        </w:rPr>
        <w:t xml:space="preserve">pattern</w:t>
      </w:r>
      <w:r>
        <w:t xml:space="preserve"> </w:t>
      </w:r>
      <w:r>
        <w:t xml:space="preserve">is documented now; the</w:t>
      </w:r>
      <w:r>
        <w:t xml:space="preserve"> </w:t>
      </w:r>
      <w:r>
        <w:rPr>
          <w:i/>
          <w:iCs/>
        </w:rPr>
        <w:t xml:space="preserve">engagement</w:t>
      </w:r>
      <w:r>
        <w:t xml:space="preserve"> </w:t>
      </w:r>
      <w:r>
        <w:t xml:space="preserve">is documented when reviewed material is available.</w:t>
      </w:r>
    </w:p>
    <w:bookmarkEnd w:id="30"/>
    <w:bookmarkStart w:id="31" w:name="related-documents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05"/>
        </w:numPr>
      </w:pPr>
      <w:r>
        <w:t xml:space="preserve">Executive Governance Series</w:t>
      </w:r>
    </w:p>
    <w:p>
      <w:pPr>
        <w:pStyle w:val="Compact"/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Identity Case Study</w:t>
        </w:r>
      </w:hyperlink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Cloud Boundary Case Study</w:t>
        </w:r>
      </w:hyperlink>
    </w:p>
    <w:p>
      <w:pPr>
        <w:pStyle w:val="Compact"/>
        <w:numPr>
          <w:ilvl w:val="0"/>
          <w:numId w:val="1005"/>
        </w:numPr>
      </w:pPr>
      <w:r>
        <w:t xml:space="preserve">Program Vision (canon)</w:t>
      </w:r>
    </w:p>
    <w:p>
      <w:pPr>
        <w:pStyle w:val="Compact"/>
        <w:numPr>
          <w:ilvl w:val="0"/>
          <w:numId w:val="1005"/>
        </w:numPr>
      </w:pPr>
      <w:r>
        <w:t xml:space="preserve">Modernization Timeline (canon)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19" Target="../books/b02-identity/01-why-identity-matters.md" TargetMode="External" /><Relationship Type="http://schemas.openxmlformats.org/officeDocument/2006/relationships/hyperlink" Id="rId20" Target="../whitepapers/modernization-governance-whitepaper.md" TargetMode="External" /><Relationship Type="http://schemas.openxmlformats.org/officeDocument/2006/relationships/hyperlink" Id="rId22" Target="cloud-boundary-case-study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books/b02-identity/01-why-identity-matters.md" TargetMode="External" /><Relationship Type="http://schemas.openxmlformats.org/officeDocument/2006/relationships/hyperlink" Id="rId20" Target="../whitepapers/modernization-governance-whitepaper.md" TargetMode="External" /><Relationship Type="http://schemas.openxmlformats.org/officeDocument/2006/relationships/hyperlink" Id="rId22" Target="cloud-boundary-case-study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Federal Modernization — Case Study</dc:title>
  <dc:creator/>
  <cp:keywords/>
  <dcterms:created xsi:type="dcterms:W3CDTF">2026-10-20T22:52:38Z</dcterms:created>
  <dcterms:modified xsi:type="dcterms:W3CDTF">2026-10-20T22:52:38Z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reference">
    <vt:lpwstr/>
  </property>
  <property fmtid="{D5CDD505-2E9C-101B-9397-08002B2CF9AE}" pid="5" name="canon-source">
    <vt:lpwstr>docs/docs/06_ProgramVision.qmd</vt:lpwstr>
  </property>
  <property fmtid="{D5CDD505-2E9C-101B-9397-08002B2CF9AE}" pid="6" name="derived-from">
    <vt:lpwstr>fmp canon</vt:lpwstr>
  </property>
  <property fmtid="{D5CDD505-2E9C-101B-9397-08002B2CF9AE}" pid="7" name="doc-type">
    <vt:lpwstr>case-study-pattern</vt:lpwstr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labels">
    <vt:lpwstr/>
  </property>
  <property fmtid="{D5CDD505-2E9C-101B-9397-08002B2CF9AE}" pid="12" name="lifecycle">
    <vt:lpwstr>adopted</vt:lpwstr>
  </property>
  <property fmtid="{D5CDD505-2E9C-101B-9397-08002B2CF9AE}" pid="13" name="lifecycle_review">
    <vt:lpwstr>2026-11-22</vt:lpwstr>
  </property>
  <property fmtid="{D5CDD505-2E9C-101B-9397-08002B2CF9AE}" pid="14" name="status">
    <vt:lpwstr>framing-pattern</vt:lpwstr>
  </property>
  <property fmtid="{D5CDD505-2E9C-101B-9397-08002B2CF9AE}" pid="15" name="subtitle">
    <vt:lpwstr>End-to-end federal agency modernization governance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