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federal-modernization-framing-pattern"/>
    <w:p>
      <w:pPr>
        <w:pStyle w:val="Heading1"/>
      </w:pPr>
      <w:r>
        <w:t xml:space="preserve">Federal Modernization — Framing Pattern</w:t>
      </w:r>
    </w:p>
    <w:p>
      <w:pPr>
        <w:pStyle w:val="FirstParagraph"/>
      </w:pPr>
      <w:r>
        <w:rPr>
          <w:b/>
          <w:bCs/>
        </w:rPr>
        <w:t xml:space="preserve">End-to-end federal agency modernization arc</w:t>
      </w:r>
    </w:p>
    <w:bookmarkStart w:id="9" w:name="starting-state"/>
    <w:p>
      <w:pPr>
        <w:pStyle w:val="Heading2"/>
      </w:pPr>
      <w:r>
        <w:t xml:space="preserve">Starting state</w:t>
      </w:r>
    </w:p>
    <w:p>
      <w:pPr>
        <w:pStyle w:val="FirstParagraph"/>
      </w:pPr>
      <w:r>
        <w:t xml:space="preserve">A federal civilian agency carries decades of client-server architecture, Active Directory, on-premises SQL Server, and a traditional perimeter. Modernization has been attempted as a sequence of independent projects. Evidence is assembled retrospectively for authorization.</w:t>
      </w:r>
    </w:p>
    <w:bookmarkEnd w:id="9"/>
    <w:bookmarkStart w:id="10" w:name="intervention"/>
    <w:p>
      <w:pPr>
        <w:pStyle w:val="Heading2"/>
      </w:pPr>
      <w:r>
        <w:t xml:space="preserve">Intervention</w:t>
      </w:r>
    </w:p>
    <w:p>
      <w:pPr>
        <w:pStyle w:val="FirstParagraph"/>
      </w:pPr>
      <w:r>
        <w:t xml:space="preserve">The program is sequenced as identity-first, then addressing, overlay, telemetry, management automation, and governance at runtime. Governance is in place before any identity object moves. Drift detection and provenance are first-class operational signals.</w:t>
      </w:r>
    </w:p>
    <w:bookmarkEnd w:id="10"/>
    <w:bookmarkStart w:id="11" w:name="observed-behavior-intended"/>
    <w:p>
      <w:pPr>
        <w:pStyle w:val="Heading2"/>
      </w:pPr>
      <w:r>
        <w:t xml:space="preserve">Observed behavior (intended)</w:t>
      </w:r>
    </w:p>
    <w:p>
      <w:pPr>
        <w:pStyle w:val="FirstParagraph"/>
      </w:pPr>
      <w:r>
        <w:t xml:space="preserve">Mission value is delivered early. Long-tail authorization and drift risk are reduced. Evidence is a byproduct of the migration rather than a retrospective assembly. Phase gates are held on evidence quality and operational determinism, not only on schedule milestones.</w:t>
      </w:r>
    </w:p>
    <w:bookmarkEnd w:id="11"/>
    <w:bookmarkStart w:id="12" w:name="lessons"/>
    <w:p>
      <w:pPr>
        <w:pStyle w:val="Heading2"/>
      </w:pPr>
      <w:r>
        <w:t xml:space="preserve">Lessons</w:t>
      </w:r>
    </w:p>
    <w:p>
      <w:pPr>
        <w:pStyle w:val="Compact"/>
        <w:numPr>
          <w:ilvl w:val="0"/>
          <w:numId w:val="1001"/>
        </w:numPr>
      </w:pPr>
      <w:r>
        <w:t xml:space="preserve">Fund and govern the program as a sequence, not as independent projects.</w:t>
      </w:r>
    </w:p>
    <w:p>
      <w:pPr>
        <w:pStyle w:val="Compact"/>
        <w:numPr>
          <w:ilvl w:val="0"/>
          <w:numId w:val="1001"/>
        </w:numPr>
      </w:pPr>
      <w:r>
        <w:t xml:space="preserve">Modernization produces the operational conditions required for continuous authorization to be credible.</w:t>
      </w:r>
    </w:p>
    <w:p>
      <w:pPr>
        <w:pStyle w:val="Compact"/>
        <w:numPr>
          <w:ilvl w:val="0"/>
          <w:numId w:val="1001"/>
        </w:numPr>
      </w:pPr>
      <w:r>
        <w:t xml:space="preserve">Treat the roadmap as a governed delivery arc, not as a claim of full operational completion across every workstream today.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framing pattern for project use. Not a deployed reference. No internal branding or document identifiers.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2026-10-19T10:09:17Z</dcterms:created>
  <dcterms:modified xsi:type="dcterms:W3CDTF">2026-10-19T10:09:17Z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