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Identity Modernization — Case Study</w:t>
      </w:r>
    </w:p>
    <w:p>
      <w:pPr>
        <w:pStyle w:val="Subtitle"/>
      </w:pPr>
      <w:r>
        <w:t xml:space="preserve">Identity plane governance during a large-scale directory migration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6" w:name="identity-modernization-case-study"/>
    <w:p>
      <w:pPr>
        <w:pStyle w:val="Heading1"/>
      </w:pPr>
      <w:r>
        <w:t xml:space="preserve">Identity Modernization — Case Study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Framing pattern, not a fabricated engagement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page is the</w:t>
            </w:r>
            <w:r>
              <w:t xml:space="preserve"> </w:t>
            </w:r>
            <w:r>
              <w:rPr>
                <w:b/>
                <w:bCs/>
              </w:rPr>
              <w:t xml:space="preserve">canonical engagement pattern</w:t>
            </w:r>
            <w:r>
              <w:t xml:space="preserve"> </w:t>
            </w:r>
            <w:r>
              <w:t xml:space="preserve">for an identity-</w:t>
            </w:r>
            <w:r>
              <w:t xml:space="preserve"> </w:t>
            </w:r>
            <w:r>
              <w:t xml:space="preserve">modernization case study, structured so that real engagement material</w:t>
            </w:r>
            <w:r>
              <w:t xml:space="preserve"> </w:t>
            </w:r>
            <w:r>
              <w:t xml:space="preserve">can be anchored on top when it becomes externally releasable.</w:t>
            </w:r>
            <w:r>
              <w:t xml:space="preserve"> </w:t>
            </w:r>
            <w:r>
              <w:t xml:space="preserve">Specific metrics, agency identifiers, and timelines are intentionally</w:t>
            </w:r>
            <w:r>
              <w:t xml:space="preserve"> </w:t>
            </w:r>
            <w:r>
              <w:t xml:space="preserve">absent until real material is reviewed.</w:t>
            </w:r>
          </w:p>
          <w:p/>
        </w:tc>
      </w:tr>
    </w:tbl>
    <w:bookmarkStart w:id="13" w:name="engagement-archetype"/>
    <w:p>
      <w:pPr>
        <w:pStyle w:val="Heading2"/>
      </w:pPr>
      <w:r>
        <w:t xml:space="preserve">Engagement archetype</w:t>
      </w:r>
    </w:p>
    <w:p>
      <w:pPr>
        <w:pStyle w:val="FirstParagraph"/>
      </w:pPr>
      <w:r>
        <w:t xml:space="preserve">A federal agency operating Active Directory at scale (&gt;100k identities,</w:t>
      </w:r>
      <w:r>
        <w:t xml:space="preserve"> </w:t>
      </w:r>
      <w:r>
        <w:t xml:space="preserve">multi-forest topology, decade-old OU hierarchy) plans transition to</w:t>
      </w:r>
      <w:r>
        <w:t xml:space="preserve"> </w:t>
      </w:r>
      <w:r>
        <w:t xml:space="preserve">Entra ID under GCC-Moderate. The program has identified the technical</w:t>
      </w:r>
      <w:r>
        <w:t xml:space="preserve"> </w:t>
      </w:r>
      <w:r>
        <w:t xml:space="preserve">migration tooling but has not addressed the</w:t>
      </w:r>
      <w:r>
        <w:t xml:space="preserve"> </w:t>
      </w:r>
      <w:r>
        <w:rPr>
          <w:b/>
          <w:bCs/>
        </w:rPr>
        <w:t xml:space="preserve">architectural inversion</w:t>
      </w:r>
      <w:r>
        <w:t xml:space="preserve"> </w:t>
      </w:r>
      <w:r>
        <w:t xml:space="preserve">from hierarchical placement to attribute-driven access (see</w:t>
      </w:r>
      <w:r>
        <w:t xml:space="preserve"> </w:t>
      </w:r>
      <w:hyperlink r:id="rId12">
        <w:r>
          <w:rPr>
            <w:rStyle w:val="Hyperlink"/>
          </w:rPr>
          <w:t xml:space="preserve">Modernization Governance Whitepaper</w:t>
        </w:r>
      </w:hyperlink>
      <w:r>
        <w:t xml:space="preserve">).</w:t>
      </w:r>
    </w:p>
    <w:p>
      <w:pPr>
        <w:pStyle w:val="BodyText"/>
      </w:pPr>
      <w:r>
        <w:t xml:space="preserve">Without a substrate, the program risks inheriting the OU-driven model</w:t>
      </w:r>
      <w:r>
        <w:t xml:space="preserve"> </w:t>
      </w:r>
      <w:r>
        <w:t xml:space="preserve">in Entra ID and losing most cloud-native value.</w:t>
      </w:r>
    </w:p>
    <w:bookmarkEnd w:id="13"/>
    <w:bookmarkStart w:id="14" w:name="starting-state-typical"/>
    <w:p>
      <w:pPr>
        <w:pStyle w:val="Heading2"/>
      </w:pPr>
      <w:r>
        <w:t xml:space="preserve">Starting state (typical)</w:t>
      </w:r>
    </w:p>
    <w:p>
      <w:pPr>
        <w:pStyle w:val="Compact"/>
        <w:numPr>
          <w:ilvl w:val="0"/>
          <w:numId w:val="1001"/>
        </w:numPr>
      </w:pPr>
      <w:r>
        <w:t xml:space="preserve">AD forest topology with several thousand OUs.</w:t>
      </w:r>
    </w:p>
    <w:p>
      <w:pPr>
        <w:pStyle w:val="Compact"/>
        <w:numPr>
          <w:ilvl w:val="0"/>
          <w:numId w:val="1001"/>
        </w:numPr>
      </w:pPr>
      <w:r>
        <w:t xml:space="preserve">Group memberships authored manually; movers handled via ticket-</w:t>
      </w:r>
      <w:r>
        <w:t xml:space="preserve"> </w:t>
      </w:r>
      <w:r>
        <w:t xml:space="preserve">driven re-permissioning.</w:t>
      </w:r>
    </w:p>
    <w:p>
      <w:pPr>
        <w:pStyle w:val="Compact"/>
        <w:numPr>
          <w:ilvl w:val="0"/>
          <w:numId w:val="1001"/>
        </w:numPr>
      </w:pPr>
      <w:r>
        <w:t xml:space="preserve">Identity claims consumed inconsistently across SIEM, IDP, IPAM,</w:t>
      </w:r>
      <w:r>
        <w:t xml:space="preserve"> </w:t>
      </w:r>
      <w:r>
        <w:t xml:space="preserve">and ATO documentation.</w:t>
      </w:r>
    </w:p>
    <w:p>
      <w:pPr>
        <w:pStyle w:val="Compact"/>
        <w:numPr>
          <w:ilvl w:val="0"/>
          <w:numId w:val="1001"/>
        </w:numPr>
      </w:pPr>
      <w:r>
        <w:t xml:space="preserve">ATO package describes intended controls; substrate truth at any</w:t>
      </w:r>
      <w:r>
        <w:t xml:space="preserve"> </w:t>
      </w:r>
      <w:r>
        <w:t xml:space="preserve">given moment is not reproducibly verifiable.</w:t>
      </w:r>
    </w:p>
    <w:bookmarkEnd w:id="14"/>
    <w:bookmarkStart w:id="20" w:name="X7bff0bf18d8773c36fe167b13839987a354092a"/>
    <w:p>
      <w:pPr>
        <w:pStyle w:val="Heading2"/>
      </w:pPr>
      <w:r>
        <w:t xml:space="preserve">The Federal Modernization Program intervention pattern</w:t>
      </w:r>
    </w:p>
    <w:bookmarkStart w:id="15" w:name="phase-1-canon-first"/>
    <w:p>
      <w:pPr>
        <w:pStyle w:val="Heading3"/>
      </w:pPr>
      <w:r>
        <w:t xml:space="preserve">Phase 1 — canon-first</w:t>
      </w:r>
    </w:p>
    <w:p>
      <w:pPr>
        <w:pStyle w:val="FirstParagraph"/>
      </w:pPr>
      <w:r>
        <w:t xml:space="preserve">Author the canonical attribute set in canon:</w:t>
      </w:r>
    </w:p>
    <w:p>
      <w:pPr>
        <w:pStyle w:val="Compact"/>
        <w:numPr>
          <w:ilvl w:val="0"/>
          <w:numId w:val="1002"/>
        </w:numPr>
      </w:pPr>
      <w:r>
        <w:t xml:space="preserve">Canonical attribute set (</w:t>
      </w:r>
      <w:r>
        <w:rPr>
          <w:rStyle w:val="VerbatimChar"/>
        </w:rPr>
        <w:t xml:space="preserve">assignment_scope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organizational_role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classification_clearance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Computed-group rules per attribute combinations.</w:t>
      </w:r>
    </w:p>
    <w:p>
      <w:pPr>
        <w:pStyle w:val="Compact"/>
        <w:numPr>
          <w:ilvl w:val="0"/>
          <w:numId w:val="1002"/>
        </w:numPr>
      </w:pPr>
      <w:r>
        <w:t xml:space="preserve">Provenance envelope per identity claim.</w:t>
      </w:r>
    </w:p>
    <w:p>
      <w:pPr>
        <w:pStyle w:val="FirstParagraph"/>
      </w:pPr>
      <w:r>
        <w:t xml:space="preserve">Substrate walker passes against the new canon before any runtime</w:t>
      </w:r>
      <w:r>
        <w:t xml:space="preserve"> </w:t>
      </w:r>
      <w:r>
        <w:t xml:space="preserve">change.</w:t>
      </w:r>
    </w:p>
    <w:bookmarkEnd w:id="15"/>
    <w:bookmarkStart w:id="16" w:name="phase-2-modernization-adapters"/>
    <w:p>
      <w:pPr>
        <w:pStyle w:val="Heading3"/>
      </w:pPr>
      <w:r>
        <w:t xml:space="preserve">Phase 2 — modernization adapters</w:t>
      </w:r>
    </w:p>
    <w:p>
      <w:pPr>
        <w:pStyle w:val="FirstParagraph"/>
      </w:pPr>
      <w:r>
        <w:t xml:space="preserve">Stand up</w:t>
      </w:r>
      <w:r>
        <w:t xml:space="preserve"> </w:t>
      </w:r>
      <w:r>
        <w:rPr>
          <w:rStyle w:val="VerbatimChar"/>
        </w:rPr>
        <w:t xml:space="preserve">entra-id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active-directory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entra-policy-targeting</w:t>
      </w:r>
      <w:r>
        <w:t xml:space="preserve">,</w:t>
      </w:r>
      <w:r>
        <w:t xml:space="preserve"> </w:t>
      </w:r>
      <w:r>
        <w:t xml:space="preserve">and the relevant attribute-source adapters</w:t>
      </w:r>
      <w:r>
        <w:t xml:space="preserve"> </w:t>
      </w:r>
      <w:r>
        <w:t xml:space="preserve">(</w:t>
      </w:r>
      <w:r>
        <w:rPr>
          <w:rStyle w:val="VerbatimChar"/>
        </w:rPr>
        <w:t xml:space="preserve">piv-usaccess</w:t>
      </w:r>
      <w:r>
        <w:t xml:space="preserve">, agency-specific HR adapter). Adapters emit canonical</w:t>
      </w:r>
      <w:r>
        <w:t xml:space="preserve"> </w:t>
      </w:r>
      <w:r>
        <w:t xml:space="preserve">claims with full provenance from day one — including during the</w:t>
      </w:r>
      <w:r>
        <w:t xml:space="preserve"> </w:t>
      </w:r>
      <w:r>
        <w:t xml:space="preserve">parallel-running period.</w:t>
      </w:r>
    </w:p>
    <w:bookmarkEnd w:id="16"/>
    <w:bookmarkStart w:id="17" w:name="phase-3-drift-driven-cleanup-pre-cutover"/>
    <w:p>
      <w:pPr>
        <w:pStyle w:val="Heading3"/>
      </w:pPr>
      <w:r>
        <w:t xml:space="preserve">Phase 3 — drift-driven cleanup pre-cutover</w:t>
      </w:r>
    </w:p>
    <w:p>
      <w:pPr>
        <w:pStyle w:val="FirstParagraph"/>
      </w:pPr>
      <w:r>
        <w:t xml:space="preserve">Pre-cutover runs surface inherited inconsistencies (stale attributes,</w:t>
      </w:r>
      <w:r>
        <w:t xml:space="preserve"> </w:t>
      </w:r>
      <w:r>
        <w:t xml:space="preserve">group rules with retired references, broken provenance chains) as</w:t>
      </w:r>
      <w:r>
        <w:t xml:space="preserve"> </w:t>
      </w:r>
      <w:r>
        <w:t xml:space="preserve">canonical drift findings. Each is remediated under the canonical</w:t>
      </w:r>
      <w:r>
        <w:t xml:space="preserve"> </w:t>
      </w:r>
      <w:r>
        <w:t xml:space="preserve">SLA tempo.</w:t>
      </w:r>
    </w:p>
    <w:bookmarkEnd w:id="17"/>
    <w:bookmarkStart w:id="18" w:name="phase-4-cutover"/>
    <w:p>
      <w:pPr>
        <w:pStyle w:val="Heading3"/>
      </w:pPr>
      <w:r>
        <w:t xml:space="preserve">Phase 4 — cutover</w:t>
      </w:r>
    </w:p>
    <w:p>
      <w:pPr>
        <w:pStyle w:val="FirstParagraph"/>
      </w:pPr>
      <w:r>
        <w:t xml:space="preserve">The directory transition is a substrate event: the identity plane’s</w:t>
      </w:r>
      <w:r>
        <w:t xml:space="preserve"> </w:t>
      </w:r>
      <w:r>
        <w:t xml:space="preserve">authoritative source switches from on-prem AD to Entra ID. Canon is</w:t>
      </w:r>
      <w:r>
        <w:t xml:space="preserve"> </w:t>
      </w:r>
      <w:r>
        <w:t xml:space="preserve">already in place to interpret post-cutover claims.</w:t>
      </w:r>
    </w:p>
    <w:bookmarkEnd w:id="18"/>
    <w:bookmarkStart w:id="19" w:name="phase-5-post-cutover"/>
    <w:p>
      <w:pPr>
        <w:pStyle w:val="Heading3"/>
      </w:pPr>
      <w:r>
        <w:t xml:space="preserve">Phase 5 — post-cutover</w:t>
      </w:r>
    </w:p>
    <w:p>
      <w:pPr>
        <w:pStyle w:val="FirstParagraph"/>
      </w:pPr>
      <w:r>
        <w:t xml:space="preserve">Drift findings continue to surface inconsistencies; auto-remediation</w:t>
      </w:r>
      <w:r>
        <w:t xml:space="preserve"> </w:t>
      </w:r>
      <w:r>
        <w:t xml:space="preserve">handles deterministic fixes; the canon-change ADR process handles</w:t>
      </w:r>
      <w:r>
        <w:t xml:space="preserve"> </w:t>
      </w:r>
      <w:r>
        <w:t xml:space="preserve">residual model evolution.</w:t>
      </w:r>
    </w:p>
    <w:bookmarkEnd w:id="19"/>
    <w:bookmarkEnd w:id="20"/>
    <w:bookmarkStart w:id="21" w:name="substrate-behaviors-observed-pattern"/>
    <w:p>
      <w:pPr>
        <w:pStyle w:val="Heading2"/>
      </w:pPr>
      <w:r>
        <w:t xml:space="preserve">Substrate behaviors observed (pattern)</w:t>
      </w:r>
    </w:p>
    <w:p>
      <w:pPr>
        <w:pStyle w:val="FirstParagraph"/>
      </w:pPr>
      <w:r>
        <w:t xml:space="preserve">A real engagement would document, with metrics, behaviors such as: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Provenance breakage rate during cutover</w:t>
      </w:r>
      <w:r>
        <w:t xml:space="preserve"> </w:t>
      </w:r>
      <w:r>
        <w:t xml:space="preserve">— how many claims</w:t>
      </w:r>
      <w:r>
        <w:t xml:space="preserve"> </w:t>
      </w:r>
      <w:r>
        <w:t xml:space="preserve">emitted with incomplete chains during parallel-run, attributable to</w:t>
      </w:r>
      <w:r>
        <w:t xml:space="preserve"> </w:t>
      </w:r>
      <w:r>
        <w:t xml:space="preserve">which adapter, remediated within which SLA tier.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Attribute-quality drift</w:t>
      </w:r>
      <w:r>
        <w:t xml:space="preserve"> </w:t>
      </w:r>
      <w:r>
        <w:t xml:space="preserve">— how many identities passed canonical</w:t>
      </w:r>
      <w:r>
        <w:t xml:space="preserve"> </w:t>
      </w:r>
      <w:r>
        <w:t xml:space="preserve">validation pre-cutover vs. post-cutover, and how the gap closed</w:t>
      </w:r>
      <w:r>
        <w:t xml:space="preserve"> </w:t>
      </w:r>
      <w:r>
        <w:t xml:space="preserve">under drift-driven cleanup.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Cross-pillar correlation health</w:t>
      </w:r>
      <w:r>
        <w:t xml:space="preserve"> </w:t>
      </w:r>
      <w:r>
        <w:t xml:space="preserve">— whether the same identity</w:t>
      </w:r>
      <w:r>
        <w:t xml:space="preserve"> </w:t>
      </w:r>
      <w:r>
        <w:t xml:space="preserve">resolves identically across PIV, Entra, and HR systems post-</w:t>
      </w:r>
      <w:r>
        <w:t xml:space="preserve"> </w:t>
      </w:r>
      <w:r>
        <w:t xml:space="preserve">cutover.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Attribute-computed access</w:t>
      </w:r>
      <w:r>
        <w:t xml:space="preserve"> </w:t>
      </w:r>
      <w:r>
        <w:t xml:space="preserve">— what fraction of access decisions are</w:t>
      </w:r>
      <w:r>
        <w:t xml:space="preserve"> </w:t>
      </w:r>
      <w:r>
        <w:t xml:space="preserve">attribute-computed vs. manually-administered post-cutover.</w:t>
      </w:r>
    </w:p>
    <w:p>
      <w:pPr>
        <w:pStyle w:val="FirstParagraph"/>
      </w:pPr>
      <w:r>
        <w:t xml:space="preserve">These metrics are the credible-claim surface for an externally</w:t>
      </w:r>
      <w:r>
        <w:t xml:space="preserve"> </w:t>
      </w:r>
      <w:r>
        <w:t xml:space="preserve">releasable case study. The substrate produces them deterministically;</w:t>
      </w:r>
      <w:r>
        <w:t xml:space="preserve"> </w:t>
      </w:r>
      <w:r>
        <w:t xml:space="preserve">authoring requires real engagement material.</w:t>
      </w:r>
    </w:p>
    <w:bookmarkEnd w:id="21"/>
    <w:bookmarkStart w:id="22" w:name="lessons-that-propagate-back-into-canon"/>
    <w:p>
      <w:pPr>
        <w:pStyle w:val="Heading2"/>
      </w:pPr>
      <w:r>
        <w:t xml:space="preserve">Lessons that propagate back into canon</w:t>
      </w:r>
    </w:p>
    <w:p>
      <w:pPr>
        <w:pStyle w:val="FirstParagraph"/>
      </w:pPr>
      <w:r>
        <w:t xml:space="preserve">A real engagement typically reveals:</w:t>
      </w:r>
    </w:p>
    <w:p>
      <w:pPr>
        <w:pStyle w:val="Compact"/>
        <w:numPr>
          <w:ilvl w:val="0"/>
          <w:numId w:val="1004"/>
        </w:numPr>
      </w:pPr>
      <w:r>
        <w:t xml:space="preserve">Edge cases in the canonical attribute set that require canon-change</w:t>
      </w:r>
      <w:r>
        <w:t xml:space="preserve"> </w:t>
      </w:r>
      <w:r>
        <w:t xml:space="preserve">ADRs.</w:t>
      </w:r>
    </w:p>
    <w:p>
      <w:pPr>
        <w:pStyle w:val="Compact"/>
        <w:numPr>
          <w:ilvl w:val="0"/>
          <w:numId w:val="1004"/>
        </w:numPr>
      </w:pPr>
      <w:r>
        <w:t xml:space="preserve">Adapter conformance gaps (where a vendor’s API does not cleanly map</w:t>
      </w:r>
      <w:r>
        <w:t xml:space="preserve"> </w:t>
      </w:r>
      <w:r>
        <w:t xml:space="preserve">to the canonical claim shape).</w:t>
      </w:r>
    </w:p>
    <w:p>
      <w:pPr>
        <w:pStyle w:val="Compact"/>
        <w:numPr>
          <w:ilvl w:val="0"/>
          <w:numId w:val="1004"/>
        </w:numPr>
      </w:pPr>
      <w:r>
        <w:t xml:space="preserve">Operational tempo tuning (SLA tiers that work in theory but require</w:t>
      </w:r>
      <w:r>
        <w:t xml:space="preserve"> </w:t>
      </w:r>
      <w:r>
        <w:t xml:space="preserve">agency-specific staffing).</w:t>
      </w:r>
    </w:p>
    <w:p>
      <w:pPr>
        <w:pStyle w:val="FirstParagraph"/>
      </w:pPr>
      <w:r>
        <w:t xml:space="preserve">Each lesson lands as either an ADR, a canon-document update, or an</w:t>
      </w:r>
      <w:r>
        <w:t xml:space="preserve"> </w:t>
      </w:r>
      <w:r>
        <w:t xml:space="preserve">adapter-registry change. The case study, when complete, becomes a</w:t>
      </w:r>
      <w:r>
        <w:t xml:space="preserve"> </w:t>
      </w:r>
      <w:r>
        <w:t xml:space="preserve">provenance source for those changes.</w:t>
      </w:r>
    </w:p>
    <w:bookmarkEnd w:id="22"/>
    <w:bookmarkStart w:id="23" w:name="Xa558ce69d2d01dd81b84a5f6064a96498bf348f"/>
    <w:p>
      <w:pPr>
        <w:pStyle w:val="Heading2"/>
      </w:pPr>
      <w:r>
        <w:t xml:space="preserve">When this study can be promoted to</w:t>
      </w:r>
      <w:r>
        <w:t xml:space="preserve"> </w:t>
      </w:r>
      <w:r>
        <w:t xml:space="preserve">“real engagement”</w:t>
      </w:r>
    </w:p>
    <w:p>
      <w:pPr>
        <w:pStyle w:val="FirstParagraph"/>
      </w:pPr>
      <w:r>
        <w:t xml:space="preserve">Per the section’s authoring posture, promotion requires:</w:t>
      </w:r>
    </w:p>
    <w:p>
      <w:pPr>
        <w:pStyle w:val="Compact"/>
        <w:numPr>
          <w:ilvl w:val="0"/>
          <w:numId w:val="1005"/>
        </w:numPr>
      </w:pPr>
      <w:r>
        <w:t xml:space="preserve">Engagement material reviewed and cleared for external release.</w:t>
      </w:r>
    </w:p>
    <w:p>
      <w:pPr>
        <w:pStyle w:val="Compact"/>
        <w:numPr>
          <w:ilvl w:val="0"/>
          <w:numId w:val="1005"/>
        </w:numPr>
      </w:pPr>
      <w:r>
        <w:t xml:space="preserve">Specific metrics anonymized or formally authorized for citation.</w:t>
      </w:r>
    </w:p>
    <w:p>
      <w:pPr>
        <w:pStyle w:val="Compact"/>
        <w:numPr>
          <w:ilvl w:val="0"/>
          <w:numId w:val="1005"/>
        </w:numPr>
      </w:pPr>
      <w:r>
        <w:t xml:space="preserve">Canon-change traceability — every</w:t>
      </w:r>
      <w:r>
        <w:t xml:space="preserve"> </w:t>
      </w:r>
      <w:r>
        <w:t xml:space="preserve">“lesson”</w:t>
      </w:r>
      <w:r>
        <w:t xml:space="preserve"> </w:t>
      </w:r>
      <w:r>
        <w:t xml:space="preserve">cited points to the</w:t>
      </w:r>
      <w:r>
        <w:t xml:space="preserve"> </w:t>
      </w:r>
      <w:r>
        <w:t xml:space="preserve">ADR or canon-document update it produced.</w:t>
      </w:r>
    </w:p>
    <w:p>
      <w:pPr>
        <w:pStyle w:val="Compact"/>
        <w:numPr>
          <w:ilvl w:val="0"/>
          <w:numId w:val="1005"/>
        </w:numPr>
      </w:pPr>
      <w:r>
        <w:t xml:space="preserve">Sponsor-side review and approval of the narrative.</w:t>
      </w:r>
    </w:p>
    <w:p>
      <w:pPr>
        <w:pStyle w:val="FirstParagraph"/>
      </w:pPr>
      <w:r>
        <w:t xml:space="preserve">Until then, this page documents the engagement</w:t>
      </w:r>
      <w:r>
        <w:t xml:space="preserve"> </w:t>
      </w:r>
      <w:r>
        <w:rPr>
          <w:i/>
          <w:iCs/>
        </w:rPr>
        <w:t xml:space="preserve">pattern</w:t>
      </w:r>
      <w:r>
        <w:t xml:space="preserve"> </w:t>
      </w:r>
      <w:r>
        <w:t xml:space="preserve">a customer</w:t>
      </w:r>
      <w:r>
        <w:t xml:space="preserve"> </w:t>
      </w:r>
      <w:r>
        <w:t xml:space="preserve">should expect, not a specific engagement outcome.</w:t>
      </w:r>
    </w:p>
    <w:bookmarkEnd w:id="23"/>
    <w:bookmarkStart w:id="25" w:name="related-documents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06"/>
        </w:numPr>
      </w:pPr>
      <w:hyperlink r:id="rId12">
        <w:r>
          <w:rPr>
            <w:rStyle w:val="Hyperlink"/>
          </w:rPr>
          <w:t xml:space="preserve">Whitepaper — Modernization Governance</w:t>
        </w:r>
      </w:hyperlink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Modernization Spec — Identity</w:t>
        </w:r>
      </w:hyperlink>
    </w:p>
    <w:p>
      <w:pPr>
        <w:pStyle w:val="Compact"/>
        <w:numPr>
          <w:ilvl w:val="0"/>
          <w:numId w:val="1006"/>
        </w:numPr>
      </w:pPr>
      <w:r>
        <w:t xml:space="preserve">the program decision: Zero Trust Identity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4" Target="../modernization-specs/identity.md" TargetMode="External" /><Relationship Type="http://schemas.openxmlformats.org/officeDocument/2006/relationships/hyperlink" Id="rId12" Target="../whitepapers/modernization-governance-whitepaper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../modernization-specs/identity.md" TargetMode="External" /><Relationship Type="http://schemas.openxmlformats.org/officeDocument/2006/relationships/hyperlink" Id="rId12" Target="../whitepapers/modernization-governance-whitepaper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Identity Modernization — Case Study</dc:title>
  <dc:creator/>
  <cp:keywords/>
  <dcterms:created xsi:type="dcterms:W3CDTF">2026-10-19T10:09:18Z</dcterms:created>
  <dcterms:modified xsi:type="dcterms:W3CDTF">2026-10-19T10:09:18Z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canon-source">
    <vt:lpwstr>src/fmp/canon/adr/adr-008-zero-trust-identity.md</vt:lpwstr>
  </property>
  <property fmtid="{D5CDD505-2E9C-101B-9397-08002B2CF9AE}" pid="6" name="derived-from">
    <vt:lpwstr>fmp canon</vt:lpwstr>
  </property>
  <property fmtid="{D5CDD505-2E9C-101B-9397-08002B2CF9AE}" pid="7" name="doc-type">
    <vt:lpwstr>case-study-pattern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lifecycle">
    <vt:lpwstr>adopted</vt:lpwstr>
  </property>
  <property fmtid="{D5CDD505-2E9C-101B-9397-08002B2CF9AE}" pid="13" name="lifecycle_review">
    <vt:lpwstr>2026-11-22</vt:lpwstr>
  </property>
  <property fmtid="{D5CDD505-2E9C-101B-9397-08002B2CF9AE}" pid="14" name="status">
    <vt:lpwstr>framing-pattern</vt:lpwstr>
  </property>
  <property fmtid="{D5CDD505-2E9C-101B-9397-08002B2CF9AE}" pid="15" name="subtitle">
    <vt:lpwstr>Identity plane governance during a large-scale directory migration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