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 Studies</w:t>
      </w:r>
    </w:p>
    <w:p>
      <w:pPr>
        <w:pStyle w:val="Subtitle"/>
      </w:pPr>
      <w:r>
        <w:t xml:space="preserve">Real-world deployment patterns and lessons learned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2" w:name="case-studies"/>
    <w:p>
      <w:pPr>
        <w:pStyle w:val="Heading1"/>
      </w:pPr>
      <w:r>
        <w:t xml:space="preserve">Case Studies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case-studies-bundle.docx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Grounded deployment narratives. Each case study documents one engagement:</w:t>
      </w:r>
      <w:r>
        <w:t xml:space="preserve"> </w:t>
      </w:r>
      <w:r>
        <w:t xml:space="preserve">the starting state, the Federal Modernization Program intervention, the observed behavior, and the</w:t>
      </w:r>
      <w:r>
        <w:t xml:space="preserve"> </w:t>
      </w:r>
      <w:r>
        <w:t xml:space="preserve">lessons that propagated back into canon.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Authoring posture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Case studies require shipped or late-stage TARGET capability to make</w:t>
            </w:r>
            <w:r>
              <w:t xml:space="preserve"> </w:t>
            </w:r>
            <w:r>
              <w:t xml:space="preserve">credible claims. Entries are drafted from real engagement material when</w:t>
            </w:r>
            <w:r>
              <w:t xml:space="preserve"> </w:t>
            </w:r>
            <w:r>
              <w:t xml:space="preserve">available and reviewed before external release.</w:t>
            </w:r>
          </w:p>
          <w:p/>
        </w:tc>
      </w:tr>
    </w:tbl>
    <w:bookmarkStart w:id="21" w:name="pages-in-this-section"/>
    <w:p>
      <w:pPr>
        <w:pStyle w:val="Heading2"/>
      </w:pPr>
      <w:r>
        <w:t xml:space="preserve">Pages in this section</w:t>
      </w:r>
    </w:p>
    <w:p>
      <w:pPr>
        <w:pStyle w:val="FirstParagraph"/>
      </w:pPr>
      <w:r>
        <w:t xml:space="preserve">Status badges follow the Whitepapers status conventions.</w:t>
      </w:r>
      <w:r>
        <w:t xml:space="preserve"> </w:t>
      </w:r>
      <w:r>
        <w:t xml:space="preserve">Case studies additionally use the</w:t>
      </w:r>
      <w:r>
        <w:t xml:space="preserve"> </w:t>
      </w:r>
      <w:r>
        <w:rPr>
          <w:b/>
          <w:bCs/>
        </w:rPr>
        <w:t xml:space="preserve">Framing-Pattern</w:t>
      </w:r>
      <w:r>
        <w:t xml:space="preserve"> </w:t>
      </w:r>
      <w:r>
        <w:t xml:space="preserve">status — the</w:t>
      </w:r>
      <w:r>
        <w:t xml:space="preserve"> </w:t>
      </w:r>
      <w:r>
        <w:t xml:space="preserve">narrative illustrates the substrate’s intended behavior using a</w:t>
      </w:r>
      <w:r>
        <w:t xml:space="preserve"> </w:t>
      </w:r>
      <w:r>
        <w:t xml:space="preserve">synthetic agency archetype rather than an attributed real-world</w:t>
      </w:r>
      <w:r>
        <w:t xml:space="preserve"> </w:t>
      </w:r>
      <w:r>
        <w:t xml:space="preserve">engagement; useful for planning conversations, not citable as a</w:t>
      </w:r>
      <w:r>
        <w:t xml:space="preserve"> </w:t>
      </w:r>
      <w:r>
        <w:t xml:space="preserve">deployed-and-validated reference.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Slug</w:t>
            </w:r>
          </w:p>
        </w:tc>
        <w:tc>
          <w:tcPr/>
          <w:p>
            <w:pPr>
              <w:pStyle w:val="Compact"/>
            </w:pPr>
            <w:r>
              <w:t xml:space="preserve">Engagement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Canon anchor</w:t>
            </w:r>
          </w:p>
        </w:tc>
      </w:tr>
      <w:tr>
        <w:tc>
          <w:tcPr/>
          <w:p>
            <w:pPr>
              <w:pStyle w:val="Compact"/>
            </w:pPr>
            <w:hyperlink r:id="rId16">
              <w:r>
                <w:rPr>
                  <w:rStyle w:val="VerbatimChar"/>
                </w:rPr>
                <w:t xml:space="preserve">identity-modernization-case-study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Identity plane governance during a large-scale directory migration</w:t>
            </w:r>
          </w:p>
        </w:tc>
        <w:tc>
          <w:tcPr/>
          <w:p>
            <w:pPr>
              <w:pStyle w:val="Compact"/>
            </w:pPr>
            <w:r>
              <w:t xml:space="preserve">Framing-Pattern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src/fmp/canon/adr/adr-008-zero-trust-identity.md</w:t>
            </w:r>
          </w:p>
        </w:tc>
      </w:tr>
      <w:tr>
        <w:tc>
          <w:tcPr/>
          <w:p>
            <w:pPr>
              <w:pStyle w:val="Compact"/>
            </w:pPr>
            <w:hyperlink r:id="rId17">
              <w:r>
                <w:rPr>
                  <w:rStyle w:val="VerbatimChar"/>
                </w:rPr>
                <w:t xml:space="preserve">cloud-boundary-case-study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GCC-Moderate boundary establishment</w:t>
            </w:r>
          </w:p>
        </w:tc>
        <w:tc>
          <w:tcPr/>
          <w:p>
            <w:pPr>
              <w:pStyle w:val="Compact"/>
            </w:pPr>
            <w:r>
              <w:t xml:space="preserve">Framing-Pattern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docs/docs/gcc-boundary-solution-architecture.qmd</w:t>
            </w:r>
          </w:p>
        </w:tc>
      </w:tr>
      <w:tr>
        <w:tc>
          <w:tcPr/>
          <w:p>
            <w:pPr>
              <w:pStyle w:val="Compact"/>
            </w:pPr>
            <w:hyperlink r:id="rId18">
              <w:r>
                <w:rPr>
                  <w:rStyle w:val="VerbatimChar"/>
                </w:rPr>
                <w:t xml:space="preserve">federal-modernization-case-study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End-to-end federal agency modernization</w:t>
            </w:r>
          </w:p>
        </w:tc>
        <w:tc>
          <w:tcPr/>
          <w:p>
            <w:pPr>
              <w:pStyle w:val="Compact"/>
            </w:pPr>
            <w:r>
              <w:t xml:space="preserve">Framing-Pattern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docs/docs/06_ProgramVision.qmd</w:t>
            </w:r>
          </w:p>
        </w:tc>
      </w:tr>
      <w:tr>
        <w:tc>
          <w:tcPr/>
          <w:p>
            <w:pPr>
              <w:pStyle w:val="Compact"/>
            </w:pPr>
            <w:hyperlink r:id="rId19">
              <w:r>
                <w:rPr>
                  <w:rStyle w:val="VerbatimChar"/>
                </w:rPr>
                <w:t xml:space="preserve">reference-deployment-fedciv-ad-to-entra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Federal civilian AD → Entra ID + SQL estate, end-to-end through the five-phase substrate</w:t>
            </w:r>
          </w:p>
        </w:tc>
        <w:tc>
          <w:tcPr/>
          <w:p>
            <w:pPr>
              <w:pStyle w:val="Compact"/>
            </w:pPr>
            <w:r>
              <w:t xml:space="preserve">Framing-Pattern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FMP_007</w:t>
            </w:r>
            <w:r>
              <w:t xml:space="preserve"> </w:t>
            </w:r>
            <w:r>
              <w:t xml:space="preserve">+ directory-migration README + drift §7.1 + B.1.1 + spn_inventory artifact</w:t>
            </w:r>
          </w:p>
        </w:tc>
      </w:tr>
      <w:tr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HR-Driven Identity, Chapter 11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Federal civilian HR system of record → Entra ID inbound provisioning, illustrative end to end (companion to the AD reference deployment)</w:t>
            </w:r>
          </w:p>
        </w:tc>
        <w:tc>
          <w:tcPr/>
          <w:p>
            <w:pPr>
              <w:pStyle w:val="Compact"/>
            </w:pPr>
            <w:r>
              <w:t xml:space="preserve">Framing-Pattern</w:t>
            </w:r>
          </w:p>
        </w:tc>
        <w:tc>
          <w:tcPr/>
          <w:p>
            <w:pPr>
              <w:pStyle w:val="Compact"/>
            </w:pPr>
            <w:r>
              <w:t xml:space="preserve">HR-Driven Identity series</w:t>
            </w:r>
          </w:p>
        </w:tc>
      </w:tr>
    </w:tbl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hyperlink" Id="rId12" Target="../../downloads/case-studies-bundle.docx" TargetMode="External" /><Relationship Type="http://schemas.openxmlformats.org/officeDocument/2006/relationships/hyperlink" Id="rId20" Target="../hr-driven-iam/11-reference-deployment.md" TargetMode="External" /><Relationship Type="http://schemas.openxmlformats.org/officeDocument/2006/relationships/hyperlink" Id="rId17" Target="cloud-boundary-case-study.html" TargetMode="External" /><Relationship Type="http://schemas.openxmlformats.org/officeDocument/2006/relationships/hyperlink" Id="rId18" Target="federal-modernization-case-study.html" TargetMode="External" /><Relationship Type="http://schemas.openxmlformats.org/officeDocument/2006/relationships/hyperlink" Id="rId16" Target="identity-modernization-case-study.html" TargetMode="External" /><Relationship Type="http://schemas.openxmlformats.org/officeDocument/2006/relationships/hyperlink" Id="rId19" Target="reference-deployment-fedciv-ad-to-entr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downloads/case-studies-bundle.docx" TargetMode="External" /><Relationship Type="http://schemas.openxmlformats.org/officeDocument/2006/relationships/hyperlink" Id="rId20" Target="../hr-driven-iam/11-reference-deployment.md" TargetMode="External" /><Relationship Type="http://schemas.openxmlformats.org/officeDocument/2006/relationships/hyperlink" Id="rId17" Target="cloud-boundary-case-study.html" TargetMode="External" /><Relationship Type="http://schemas.openxmlformats.org/officeDocument/2006/relationships/hyperlink" Id="rId18" Target="federal-modernization-case-study.html" TargetMode="External" /><Relationship Type="http://schemas.openxmlformats.org/officeDocument/2006/relationships/hyperlink" Id="rId16" Target="identity-modernization-case-study.html" TargetMode="External" /><Relationship Type="http://schemas.openxmlformats.org/officeDocument/2006/relationships/hyperlink" Id="rId19" Target="reference-deployment-fedciv-ad-to-entr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Studies</dc:title>
  <dc:creator/>
  <cp:keywords/>
  <dcterms:created xsi:type="dcterms:W3CDTF">2026-10-19T10:09:18Z</dcterms:created>
  <dcterms:modified xsi:type="dcterms:W3CDTF">2026-10-19T10:09:18Z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Modernization sponsors · program leads · prospective customers</vt:lpwstr>
  </property>
  <property fmtid="{D5CDD505-2E9C-101B-9397-08002B2CF9AE}" pid="4" name="biblio-config">
    <vt:lpwstr>True</vt:lpwstr>
  </property>
  <property fmtid="{D5CDD505-2E9C-101B-9397-08002B2CF9AE}" pid="5" name="canon-source">
    <vt:lpwstr>src/fmp/canon/</vt:lpwstr>
  </property>
  <property fmtid="{D5CDD505-2E9C-101B-9397-08002B2CF9AE}" pid="6" name="derived-from">
    <vt:lpwstr>fmp canon</vt:lpwstr>
  </property>
  <property fmtid="{D5CDD505-2E9C-101B-9397-08002B2CF9AE}" pid="7" name="doc-type">
    <vt:lpwstr>section-landing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subtitle">
    <vt:lpwstr>Real-world deployment patterns and lessons learned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