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Federal Civilian AD → Entra ID + SQL Estate — Reference Deployment Pattern</w:t>
      </w:r>
    </w:p>
    <w:p>
      <w:pPr>
        <w:pStyle w:val="Subtitle"/>
      </w:pPr>
      <w:r>
        <w:t xml:space="preserve">End-to-end substrate walkthrough for a mid-size federal agency with two AD forests, a sprawling SQL estate, and a GCC-Moderate destination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6" w:name="X09703c053c9374905e89a805336fcc04b559815"/>
    <w:p>
      <w:pPr>
        <w:pStyle w:val="Heading1"/>
      </w:pPr>
      <w:r>
        <w:t xml:space="preserve">Federal Civilian AD → Entra ID + SQL Estate — Reference Deployment Pattern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Framing pattern, not a fabricated engagement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page is the</w:t>
            </w:r>
            <w:r>
              <w:t xml:space="preserve"> </w:t>
            </w:r>
            <w:r>
              <w:rPr>
                <w:b/>
                <w:bCs/>
              </w:rPr>
              <w:t xml:space="preserve">canonical engagement pattern</w:t>
            </w:r>
            <w:r>
              <w:t xml:space="preserve"> </w:t>
            </w:r>
            <w:r>
              <w:t xml:space="preserve">for a federal civilian</w:t>
            </w:r>
            <w:r>
              <w:t xml:space="preserve"> </w:t>
            </w:r>
            <w:r>
              <w:t xml:space="preserve">agency migrating Active Directory and its dependent SQL estate to</w:t>
            </w:r>
            <w:r>
              <w:t xml:space="preserve"> </w:t>
            </w:r>
            <w:r>
              <w:t xml:space="preserve">Microsoft Entra ID + M365 GCC-Moderate, end-to-end through the Federal Modernization Program</w:t>
            </w:r>
            <w:r>
              <w:t xml:space="preserve"> </w:t>
            </w:r>
            <w:r>
              <w:t xml:space="preserve">substrate. Specific metrics, agency identifiers, contractor names, and</w:t>
            </w:r>
            <w:r>
              <w:t xml:space="preserve"> </w:t>
            </w:r>
            <w:r>
              <w:t xml:space="preserve">calendar dates are intentionally absent until real engagement material</w:t>
            </w:r>
            <w:r>
              <w:t xml:space="preserve"> </w:t>
            </w:r>
            <w:r>
              <w:t xml:space="preserve">is reviewed and externally releasable. The narrative below is the</w:t>
            </w:r>
            <w:r>
              <w:t xml:space="preserve"> </w:t>
            </w:r>
            <w:r>
              <w:rPr>
                <w:b/>
                <w:bCs/>
              </w:rPr>
              <w:t xml:space="preserve">substrate’s behavior</w:t>
            </w:r>
            <w:r>
              <w:t xml:space="preserve"> </w:t>
            </w:r>
            <w:r>
              <w:t xml:space="preserve">against the archetype, not a deployed-and-</w:t>
            </w:r>
            <w:r>
              <w:t xml:space="preserve"> </w:t>
            </w:r>
            <w:r>
              <w:t xml:space="preserve">attested reference.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Status badge in the family index:</w:t>
            </w:r>
            <w:r>
              <w:t xml:space="preserve"> </w:t>
            </w:r>
            <w:r>
              <w:rPr>
                <w:b/>
                <w:bCs/>
              </w:rPr>
              <w:t xml:space="preserve">Framing-Pattern</w:t>
            </w:r>
            <w:r>
              <w:t xml:space="preserve"> </w:t>
            </w:r>
            <w:r>
              <w:t xml:space="preserve">per the</w:t>
            </w:r>
            <w:r>
              <w:t xml:space="preserve"> </w:t>
            </w:r>
            <w:r>
              <w:t xml:space="preserve">Whitepapers status conventions.</w:t>
            </w:r>
          </w:p>
          <w:p/>
        </w:tc>
      </w:tr>
    </w:tbl>
    <w:bookmarkStart w:id="14" w:name="engagement-archetype"/>
    <w:p>
      <w:pPr>
        <w:pStyle w:val="Heading2"/>
      </w:pPr>
      <w:r>
        <w:t xml:space="preserve">Engagement archetype</w:t>
      </w:r>
    </w:p>
    <w:p>
      <w:pPr>
        <w:pStyle w:val="FirstParagraph"/>
      </w:pPr>
      <w:r>
        <w:t xml:space="preserve">A federal civilian agency of approximately fifty thousand users</w:t>
      </w:r>
      <w:r>
        <w:t xml:space="preserve"> </w:t>
      </w:r>
      <w:r>
        <w:t xml:space="preserve">operates two Active Directory forests — one for the agency proper, one</w:t>
      </w:r>
      <w:r>
        <w:t xml:space="preserve"> </w:t>
      </w:r>
      <w:r>
        <w:t xml:space="preserve">inherited from a component organization absorbed in a prior</w:t>
      </w:r>
      <w:r>
        <w:t xml:space="preserve"> </w:t>
      </w:r>
      <w:r>
        <w:t xml:space="preserve">reorganization — joined by a transitive trust that nobody fully</w:t>
      </w:r>
      <w:r>
        <w:t xml:space="preserve"> </w:t>
      </w:r>
      <w:r>
        <w:t xml:space="preserve">documented and that nobody currently owns. The forests collectively</w:t>
      </w:r>
      <w:r>
        <w:t xml:space="preserve"> </w:t>
      </w:r>
      <w:r>
        <w:t xml:space="preserve">hold roughly seventy thousand computer accounts, twelve thousand</w:t>
      </w:r>
      <w:r>
        <w:t xml:space="preserve"> </w:t>
      </w:r>
      <w:r>
        <w:t xml:space="preserve">groups, several thousand orphaned service accounts whose original</w:t>
      </w:r>
      <w:r>
        <w:t xml:space="preserve"> </w:t>
      </w:r>
      <w:r>
        <w:t xml:space="preserve">owners have rotated out, and a SQL Server estate of approximately</w:t>
      </w:r>
      <w:r>
        <w:t xml:space="preserve"> </w:t>
      </w:r>
      <w:r>
        <w:t xml:space="preserve">ninety instances spread across regional offices, the agency</w:t>
      </w:r>
      <w:r>
        <w:t xml:space="preserve"> </w:t>
      </w:r>
      <w:r>
        <w:t xml:space="preserve">headquarters data center, and three relocated workloads now running on</w:t>
      </w:r>
      <w:r>
        <w:t xml:space="preserve"> </w:t>
      </w:r>
      <w:r>
        <w:t xml:space="preserve">Azure Arc-enrolled hardware. The agency is under explicit modernization</w:t>
      </w:r>
      <w:r>
        <w:t xml:space="preserve"> </w:t>
      </w:r>
      <w:r>
        <w:t xml:space="preserve">pressure from OMB M-22-09 (Zero Trust), CISA</w:t>
      </w:r>
      <w:r>
        <w:t xml:space="preserve"> </w:t>
      </w:r>
      <w:hyperlink r:id="rId12">
        <w:r>
          <w:rPr>
            <w:rStyle w:val="Hyperlink"/>
          </w:rPr>
          <w:t xml:space="preserve">BOD 25-01</w:t>
        </w:r>
      </w:hyperlink>
      <w:r>
        <w:t xml:space="preserve"> </w:t>
      </w:r>
      <w:r>
        <w:t xml:space="preserve">(logging and</w:t>
      </w:r>
      <w:r>
        <w:t xml:space="preserve"> </w:t>
      </w:r>
      <w:r>
        <w:t xml:space="preserve">visibility), and a forthcoming FedRAMP 20x continuous-monitoring</w:t>
      </w:r>
      <w:r>
        <w:t xml:space="preserve"> </w:t>
      </w:r>
      <w:r>
        <w:t xml:space="preserve">expectation. It has chosen Microsoft 365 GCC-Moderate as the</w:t>
      </w:r>
      <w:r>
        <w:t xml:space="preserve"> </w:t>
      </w:r>
      <w:r>
        <w:t xml:space="preserve">destination identity plane and is committed to consolidating its data</w:t>
      </w:r>
      <w:r>
        <w:t xml:space="preserve"> </w:t>
      </w:r>
      <w:r>
        <w:t xml:space="preserve">estate around the Fabric + OneLake + Purview Azure SSOT stack.</w:t>
      </w:r>
    </w:p>
    <w:p>
      <w:pPr>
        <w:pStyle w:val="BodyText"/>
      </w:pPr>
      <w:r>
        <w:t xml:space="preserve">The agency’s compliance posture today is recognizable. Its previous</w:t>
      </w:r>
      <w:r>
        <w:t xml:space="preserve"> </w:t>
      </w:r>
      <w:r>
        <w:t xml:space="preserve">ATO package was assembled retrospectively over a twelve-month window</w:t>
      </w:r>
      <w:r>
        <w:t xml:space="preserve"> </w:t>
      </w:r>
      <w:r>
        <w:t xml:space="preserve">by a system integrator who is no longer on contract. The directory’s</w:t>
      </w:r>
      <w:r>
        <w:t xml:space="preserve"> </w:t>
      </w:r>
      <w:r>
        <w:t xml:space="preserve">SPN inventory exists only in spreadsheets that were last refreshed two</w:t>
      </w:r>
      <w:r>
        <w:t xml:space="preserve"> </w:t>
      </w:r>
      <w:r>
        <w:t xml:space="preserve">years ago. The SQL estate’s lineage and ownership are documented in</w:t>
      </w:r>
      <w:r>
        <w:t xml:space="preserve"> </w:t>
      </w:r>
      <w:r>
        <w:t xml:space="preserve">component-level binders that disagree with each other on basic</w:t>
      </w:r>
      <w:r>
        <w:t xml:space="preserve"> </w:t>
      </w:r>
      <w:r>
        <w:t xml:space="preserve">attribution questions. The agency has the right tools — Entra Connect,</w:t>
      </w:r>
      <w:r>
        <w:t xml:space="preserve"> </w:t>
      </w:r>
      <w:r>
        <w:t xml:space="preserve">Intune, Defender, Purview Premium — but no shared canon for what those</w:t>
      </w:r>
      <w:r>
        <w:t xml:space="preserve"> </w:t>
      </w:r>
      <w:r>
        <w:t xml:space="preserve">tools should be told about the agency’s organizational structure.</w:t>
      </w:r>
    </w:p>
    <w:p>
      <w:pPr>
        <w:pStyle w:val="BodyText"/>
      </w:pPr>
      <w:r>
        <w:t xml:space="preserve">This is the engagement pattern the Federal Modernization Program is built for, and the substrate’s</w:t>
      </w:r>
      <w:r>
        <w:t xml:space="preserve"> </w:t>
      </w:r>
      <w:r>
        <w:t xml:space="preserve">behavior across the five phases below is what this case study</w:t>
      </w:r>
      <w:r>
        <w:t xml:space="preserve"> </w:t>
      </w:r>
      <w:r>
        <w:t xml:space="preserve">illustrates. For the federal mandate alignment that makes this work</w:t>
      </w:r>
      <w:r>
        <w:t xml:space="preserve"> </w:t>
      </w:r>
      <w:r>
        <w:t xml:space="preserve">necessary, see the</w:t>
      </w:r>
      <w:r>
        <w:t xml:space="preserve"> </w:t>
      </w:r>
      <w:hyperlink r:id="rId13">
        <w:r>
          <w:rPr>
            <w:rStyle w:val="Hyperlink"/>
          </w:rPr>
          <w:t xml:space="preserve">Federal SSOT Alignment whitepaper</w:t>
        </w:r>
      </w:hyperlink>
      <w:r>
        <w:t xml:space="preserve">.</w:t>
      </w:r>
    </w:p>
    <w:bookmarkEnd w:id="14"/>
    <w:bookmarkStart w:id="15" w:name="phase-1-discover"/>
    <w:p>
      <w:pPr>
        <w:pStyle w:val="Heading2"/>
      </w:pPr>
      <w:r>
        <w:t xml:space="preserve">Phase 1 — Discover</w:t>
      </w:r>
    </w:p>
    <w:p>
      <w:pPr>
        <w:pStyle w:val="FirstParagraph"/>
      </w:pPr>
      <w:r>
        <w:t xml:space="preserve">The first substrate action is to make the current state of the agency’s</w:t>
      </w:r>
      <w:r>
        <w:t xml:space="preserve"> </w:t>
      </w:r>
      <w:r>
        <w:t xml:space="preserve">identity infrastructure honest. The AD survey adapter at</w:t>
      </w:r>
      <w:r>
        <w:t xml:space="preserve"> </w:t>
      </w:r>
      <w:r>
        <w:rPr>
          <w:rStyle w:val="VerbatimChar"/>
        </w:rPr>
        <w:t xml:space="preserve">src/fmp/adapters/modernization/active_directory/survey.py</w:t>
      </w:r>
      <w:r>
        <w:t xml:space="preserve"> </w:t>
      </w:r>
      <w:r>
        <w:t xml:space="preserve">reads both forests in read-only mode and emits an</w:t>
      </w:r>
      <w:r>
        <w:t xml:space="preserve"> </w:t>
      </w:r>
      <w:r>
        <w:rPr>
          <w:rStyle w:val="VerbatimChar"/>
        </w:rPr>
        <w:t xml:space="preserve">ADSurveyReport</w:t>
      </w:r>
      <w:r>
        <w:t xml:space="preserve"> </w:t>
      </w:r>
      <w:r>
        <w:t xml:space="preserve">that</w:t>
      </w:r>
      <w:r>
        <w:t xml:space="preserve"> </w:t>
      </w:r>
      <w:r>
        <w:t xml:space="preserve">enumerates the eleven AD object types catalogued in</w:t>
      </w:r>
      <w:r>
        <w:t xml:space="preserve"> </w:t>
      </w:r>
      <w:r>
        <w:rPr>
          <w:rStyle w:val="VerbatimChar"/>
        </w:rPr>
        <w:t xml:space="preserve">src/fmp/modernization/directory-migration/ad-dependency-inventory.md</w:t>
      </w:r>
      <w:r>
        <w:t xml:space="preserve">:</w:t>
      </w:r>
      <w:r>
        <w:t xml:space="preserve"> </w:t>
      </w:r>
      <w:r>
        <w:t xml:space="preserve">users, computers, service accounts, security groups, GPOs, DNS and DHCP</w:t>
      </w:r>
      <w:r>
        <w:t xml:space="preserve"> </w:t>
      </w:r>
      <w:r>
        <w:t xml:space="preserve">records, PKI artifacts, RADIUS configurations, LDAP-dependent</w:t>
      </w:r>
      <w:r>
        <w:t xml:space="preserve"> </w:t>
      </w:r>
      <w:r>
        <w:t xml:space="preserve">applications, Kerberos SPNs, and the trust relationships between the</w:t>
      </w:r>
      <w:r>
        <w:t xml:space="preserve"> </w:t>
      </w:r>
      <w:r>
        <w:t xml:space="preserve">two forests. The survey is the same one that produced the substrate’s</w:t>
      </w:r>
      <w:r>
        <w:t xml:space="preserve"> </w:t>
      </w:r>
      <w:r>
        <w:t xml:space="preserve">test fixtures; it is not a per-engagement script.</w:t>
      </w:r>
    </w:p>
    <w:p>
      <w:pPr>
        <w:pStyle w:val="BodyText"/>
      </w:pPr>
      <w:r>
        <w:t xml:space="preserve">The service-account scan codified in</w:t>
      </w:r>
      <w:r>
        <w:t xml:space="preserve"> </w:t>
      </w:r>
      <w:r>
        <w:rPr>
          <w:rStyle w:val="VerbatimChar"/>
        </w:rPr>
        <w:t xml:space="preserve">Spec3-D1.1</w:t>
      </w:r>
      <w:r>
        <w:t xml:space="preserve"> </w:t>
      </w:r>
      <w:r>
        <w:t xml:space="preserve">(FMP_139)</w:t>
      </w:r>
      <w:r>
        <w:t xml:space="preserve"> </w:t>
      </w:r>
      <w:r>
        <w:t xml:space="preserve">runs as part of the discovery pass. It produces a service-accounts</w:t>
      </w:r>
      <w:r>
        <w:t xml:space="preserve"> </w:t>
      </w:r>
      <w:r>
        <w:t xml:space="preserve">inventory with delegation classification, AdminCount status, and a per-</w:t>
      </w:r>
      <w:r>
        <w:t xml:space="preserve"> </w:t>
      </w:r>
      <w:r>
        <w:t xml:space="preserve">account risk score that flags ADCS-dependent SPNs and unconstrained</w:t>
      </w:r>
      <w:r>
        <w:t xml:space="preserve"> </w:t>
      </w:r>
      <w:r>
        <w:t xml:space="preserve">Kerberos delegation as critical pre-migration findings. The agency in</w:t>
      </w:r>
      <w:r>
        <w:t xml:space="preserve"> </w:t>
      </w:r>
      <w:r>
        <w:t xml:space="preserve">this archetype has roughly four hundred service accounts with at least</w:t>
      </w:r>
      <w:r>
        <w:t xml:space="preserve"> </w:t>
      </w:r>
      <w:r>
        <w:t xml:space="preserve">one SPN registration; the survey flags approximately sixty of them as</w:t>
      </w:r>
      <w:r>
        <w:t xml:space="preserve"> </w:t>
      </w:r>
      <w:r>
        <w:t xml:space="preserve">critical and another hundred as high-risk.</w:t>
      </w:r>
    </w:p>
    <w:p>
      <w:pPr>
        <w:pStyle w:val="BodyText"/>
      </w:pPr>
      <w:r>
        <w:t xml:space="preserve">The SPN inventory artifact introduced in PR #395 captures the agency’s</w:t>
      </w:r>
      <w:r>
        <w:t xml:space="preserve"> </w:t>
      </w:r>
      <w:r>
        <w:rPr>
          <w:rStyle w:val="VerbatimChar"/>
        </w:rPr>
        <w:t xml:space="preserve">MSSQLSvc/*</w:t>
      </w:r>
      <w:r>
        <w:t xml:space="preserve"> </w:t>
      </w:r>
      <w:r>
        <w:t xml:space="preserve">registrations with a</w:t>
      </w:r>
      <w:r>
        <w:t xml:space="preserve"> </w:t>
      </w:r>
      <w:r>
        <w:rPr>
          <w:rStyle w:val="VerbatimChar"/>
        </w:rPr>
        <w:t xml:space="preserve">phase: pre_migration</w:t>
      </w:r>
      <w:r>
        <w:t xml:space="preserve"> </w:t>
      </w:r>
      <w:r>
        <w:t xml:space="preserve">tag, the discovery</w:t>
      </w:r>
      <w:r>
        <w:t xml:space="preserve"> </w:t>
      </w:r>
      <w:r>
        <w:t xml:space="preserve">timestamp, and the organizational attribution resolved via the service-</w:t>
      </w:r>
      <w:r>
        <w:t xml:space="preserve"> </w:t>
      </w:r>
      <w:r>
        <w:t xml:space="preserve">account principal (preferred) or the hosting computer (fallback).</w:t>
      </w:r>
      <w:r>
        <w:t xml:space="preserve"> </w:t>
      </w:r>
      <w:r>
        <w:t xml:space="preserve">Approximately eighty of the agency’s ninety SQL instances resolve</w:t>
      </w:r>
      <w:r>
        <w:t xml:space="preserve"> </w:t>
      </w:r>
      <w:r>
        <w:t xml:space="preserve">cleanly; ten emit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 </w:t>
      </w:r>
      <w:r>
        <w:t xml:space="preserve">findings because their service</w:t>
      </w:r>
      <w:r>
        <w:t xml:space="preserve"> </w:t>
      </w:r>
      <w:r>
        <w:t xml:space="preserve">accounts predate any organizational attribution the agency can</w:t>
      </w:r>
      <w:r>
        <w:t xml:space="preserve"> </w:t>
      </w:r>
      <w:r>
        <w:t xml:space="preserve">defend. These ten are flagged as P2 conditions that must be remediated</w:t>
      </w:r>
      <w:r>
        <w:t xml:space="preserve"> </w:t>
      </w:r>
      <w:r>
        <w:t xml:space="preserve">through explicit owner reassignment before migration begins.</w:t>
      </w:r>
    </w:p>
    <w:p>
      <w:pPr>
        <w:pStyle w:val="BodyText"/>
      </w:pPr>
      <w:r>
        <w:t xml:space="preserve">The discovery phase ends with a readiness bundle, HMAC-</w:t>
      </w:r>
      <w:r>
        <w:t xml:space="preserve"> </w:t>
      </w:r>
      <w:r>
        <w:t xml:space="preserve">signed, ready to be consumed by the next phase. The bundle’s</w:t>
      </w:r>
      <w:r>
        <w:t xml:space="preserve"> </w:t>
      </w:r>
      <w:r>
        <w:t xml:space="preserve">provenance section names the substrate canon documents it derives from</w:t>
      </w:r>
      <w:r>
        <w:t xml:space="preserve"> </w:t>
      </w:r>
      <w:r>
        <w:t xml:space="preserve">and binds the bundle to the agency’s specific run.</w:t>
      </w:r>
    </w:p>
    <w:bookmarkEnd w:id="15"/>
    <w:bookmarkStart w:id="16" w:name="phase-2-normalize"/>
    <w:p>
      <w:pPr>
        <w:pStyle w:val="Heading2"/>
      </w:pPr>
      <w:r>
        <w:t xml:space="preserve">Phase 2 — Normalize</w:t>
      </w:r>
    </w:p>
    <w:p>
      <w:pPr>
        <w:pStyle w:val="FirstParagraph"/>
      </w:pPr>
      <w:r>
        <w:t xml:space="preserve">The discovery output is not yet authoritative. The agency’s two</w:t>
      </w:r>
      <w:r>
        <w:t xml:space="preserve"> </w:t>
      </w:r>
      <w:r>
        <w:t xml:space="preserve">forests carry overlapping organizational hierarchies — both have an</w:t>
      </w:r>
      <w:r>
        <w:t xml:space="preserve"> </w:t>
      </w:r>
      <w:r>
        <w:t xml:space="preserve">“Operations”</w:t>
      </w:r>
      <w:r>
        <w:t xml:space="preserve"> </w:t>
      </w:r>
      <w:r>
        <w:t xml:space="preserve">OU at the top level, but the Operations group in forest</w:t>
      </w:r>
      <w:r>
        <w:t xml:space="preserve"> </w:t>
      </w:r>
      <w:r>
        <w:t xml:space="preserve">A is a completely different population than Operations in forest B,</w:t>
      </w:r>
      <w:r>
        <w:t xml:space="preserve"> </w:t>
      </w:r>
      <w:r>
        <w:t xml:space="preserve">and the merged tenant cannot tolerate that ambiguity. The organizational</w:t>
      </w:r>
      <w:r>
        <w:t xml:space="preserve"> </w:t>
      </w:r>
      <w:r>
        <w:t xml:space="preserve">registry, populated from the discovery output and refined through the</w:t>
      </w:r>
      <w:r>
        <w:t xml:space="preserve"> </w:t>
      </w:r>
      <w:r>
        <w:t xml:space="preserve">agency’s organizational chart of record, becomes the source of truth</w:t>
      </w:r>
      <w:r>
        <w:t xml:space="preserve"> </w:t>
      </w:r>
      <w:r>
        <w:t xml:space="preserve">for organizational position. The collision is resolved in the</w:t>
      </w:r>
      <w:r>
        <w:t xml:space="preserve"> </w:t>
      </w:r>
      <w:r>
        <w:t xml:space="preserve">registry, not at the group level.</w:t>
      </w:r>
    </w:p>
    <w:p>
      <w:pPr>
        <w:pStyle w:val="BodyText"/>
      </w:pPr>
      <w:r>
        <w:t xml:space="preserve">The normalization phase emits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 </w:t>
      </w:r>
      <w:r>
        <w:t xml:space="preserve">findings for principals</w:t>
      </w:r>
      <w:r>
        <w:t xml:space="preserve"> </w:t>
      </w:r>
      <w:r>
        <w:t xml:space="preserve">that the registry cannot attribute. In the archetype, roughly</w:t>
      </w:r>
      <w:r>
        <w:t xml:space="preserve"> </w:t>
      </w:r>
      <w:r>
        <w:t xml:space="preserve">two thousand users and several hundred service accounts fall into this</w:t>
      </w:r>
      <w:r>
        <w:t xml:space="preserve"> </w:t>
      </w:r>
      <w:r>
        <w:t xml:space="preserve">bucket on the first pass. Each finding includes a suggested organizational</w:t>
      </w:r>
      <w:r>
        <w:t xml:space="preserve"> </w:t>
      </w:r>
      <w:r>
        <w:t xml:space="preserve">attribution candidate derived from OU placement, manager chain, or computer-account</w:t>
      </w:r>
      <w:r>
        <w:t xml:space="preserve"> </w:t>
      </w:r>
      <w:r>
        <w:t xml:space="preserve">attribution; the substrate does not auto-assign because organizational attribution is</w:t>
      </w:r>
      <w:r>
        <w:t xml:space="preserve"> </w:t>
      </w:r>
      <w:r>
        <w:t xml:space="preserve">load-bearing for every downstream policy decision. The agency’s</w:t>
      </w:r>
      <w:r>
        <w:t xml:space="preserve"> </w:t>
      </w:r>
      <w:r>
        <w:t xml:space="preserve">governance team resolves these findings through the change-request</w:t>
      </w:r>
      <w:r>
        <w:t xml:space="preserve"> </w:t>
      </w:r>
      <w:r>
        <w:t xml:space="preserve">workflow before the next phase begins.</w:t>
      </w:r>
    </w:p>
    <w:bookmarkEnd w:id="16"/>
    <w:bookmarkStart w:id="17" w:name="phase-3-map"/>
    <w:p>
      <w:pPr>
        <w:pStyle w:val="Heading2"/>
      </w:pPr>
      <w:r>
        <w:t xml:space="preserve">Phase 3 — Map</w:t>
      </w:r>
    </w:p>
    <w:p>
      <w:pPr>
        <w:pStyle w:val="FirstParagraph"/>
      </w:pPr>
      <w:r>
        <w:t xml:space="preserve">Mapping translates the X.500 / LDAP governance model encoded in AD</w:t>
      </w:r>
      <w:r>
        <w:t xml:space="preserve"> </w:t>
      </w:r>
      <w:r>
        <w:t xml:space="preserve">into the attribute-driven model Entra ID requires. The eight adapter</w:t>
      </w:r>
      <w:r>
        <w:t xml:space="preserve"> </w:t>
      </w:r>
      <w:r>
        <w:t xml:space="preserve">interfaces under</w:t>
      </w:r>
      <w:r>
        <w:t xml:space="preserve"> </w:t>
      </w:r>
      <w:r>
        <w:rPr>
          <w:rStyle w:val="VerbatimChar"/>
        </w:rPr>
        <w:t xml:space="preserve">src/fmp/modernization/directory-migration/adapters/</w:t>
      </w:r>
      <w:r>
        <w:t xml:space="preserve"> </w:t>
      </w:r>
      <w:r>
        <w:t xml:space="preserve">each carry an explicit contract for one of the AD-adjacent surfaces</w:t>
      </w:r>
      <w:r>
        <w:t xml:space="preserve"> </w:t>
      </w:r>
      <w:r>
        <w:t xml:space="preserve">that must be re-governed: IPAM, PKI, RADIUS, LDAP-proxy, sync-engine,</w:t>
      </w:r>
      <w:r>
        <w:t xml:space="preserve"> </w:t>
      </w:r>
      <w:r>
        <w:t xml:space="preserve">device-management, NTP, DFS, and the SQL Server workload adapter</w:t>
      </w:r>
      <w:r>
        <w:t xml:space="preserve"> </w:t>
      </w:r>
      <w:r>
        <w:t xml:space="preserve">introduced in PR #397</w:t>
      </w:r>
      <w:r>
        <w:t xml:space="preserve"> </w:t>
      </w:r>
      <w:r>
        <w:t xml:space="preserve">(</w:t>
      </w:r>
      <w:r>
        <w:rPr>
          <w:rStyle w:val="VerbatimChar"/>
        </w:rPr>
        <w:t xml:space="preserve">adapters/sql-server/sql-server-adapter-interface.md</w:t>
      </w:r>
      <w:r>
        <w:t xml:space="preserve">).</w:t>
      </w:r>
      <w:r>
        <w:t xml:space="preserve"> </w:t>
      </w:r>
      <w:r>
        <w:t xml:space="preserve">Each adapter declares its</w:t>
      </w:r>
      <w:r>
        <w:t xml:space="preserve"> </w:t>
      </w:r>
      <w:r>
        <w:rPr>
          <w:rStyle w:val="VerbatimChar"/>
        </w:rPr>
        <w:t xml:space="preserve">class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mission-class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gcc-boundary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migration-adapter-registry.yaml</w:t>
      </w:r>
      <w:r>
        <w:t xml:space="preserve"> </w:t>
      </w:r>
      <w:r>
        <w:t xml:space="preserve">and is schema-validated in CI.</w:t>
      </w:r>
    </w:p>
    <w:p>
      <w:pPr>
        <w:pStyle w:val="BodyText"/>
      </w:pPr>
      <w:r>
        <w:t xml:space="preserve">For this archetype, the most operationally significant adapters are</w:t>
      </w:r>
      <w:r>
        <w:t xml:space="preserve"> </w:t>
      </w:r>
      <w:r>
        <w:t xml:space="preserve">PKI (the agency’s ADCS hierarchy hosts dozens of templates whose</w:t>
      </w:r>
      <w:r>
        <w:t xml:space="preserve"> </w:t>
      </w:r>
      <w:r>
        <w:t xml:space="preserve">auto-enrollment must move to Intune SCEP without expiring certificates</w:t>
      </w:r>
      <w:r>
        <w:t xml:space="preserve"> </w:t>
      </w:r>
      <w:r>
        <w:t xml:space="preserve">mid-cutover) and the SQL Server adapter (the ninety instances need</w:t>
      </w:r>
      <w:r>
        <w:t xml:space="preserve"> </w:t>
      </w:r>
      <w:r>
        <w:t xml:space="preserve">SPN re-registration coordinated with service-account migration). The</w:t>
      </w:r>
      <w:r>
        <w:t xml:space="preserve"> </w:t>
      </w:r>
      <w:r>
        <w:t xml:space="preserve">LDAP-proxy adapter covers the agency’s approximately forty LDAP-bound</w:t>
      </w:r>
      <w:r>
        <w:t xml:space="preserve"> </w:t>
      </w:r>
      <w:r>
        <w:t xml:space="preserve">internal applications. RADIUS is critical because the agency’s</w:t>
      </w:r>
      <w:r>
        <w:t xml:space="preserve"> </w:t>
      </w:r>
      <w:r>
        <w:t xml:space="preserve">network access requires 802.1X EAP-TLS that depends on the same ADCS</w:t>
      </w:r>
      <w:r>
        <w:t xml:space="preserve"> </w:t>
      </w:r>
      <w:r>
        <w:t xml:space="preserve">hierarchy PKI governs.</w:t>
      </w:r>
    </w:p>
    <w:bookmarkEnd w:id="17"/>
    <w:bookmarkStart w:id="18" w:name="phase-4-migrate"/>
    <w:p>
      <w:pPr>
        <w:pStyle w:val="Heading2"/>
      </w:pPr>
      <w:r>
        <w:t xml:space="preserve">Phase 4 — Migrate</w:t>
      </w:r>
    </w:p>
    <w:p>
      <w:pPr>
        <w:pStyle w:val="FirstParagraph"/>
      </w:pPr>
      <w:r>
        <w:t xml:space="preserve">The migration itself is executed as a sequence of provenance-chained</w:t>
      </w:r>
      <w:r>
        <w:t xml:space="preserve"> </w:t>
      </w:r>
      <w:r>
        <w:t xml:space="preserve">events. Each adapter operation carries an immutable record of the</w:t>
      </w:r>
      <w:r>
        <w:t xml:space="preserve"> </w:t>
      </w:r>
      <w:r>
        <w:t xml:space="preserve">principal that requested the change, the source of authority, the</w:t>
      </w:r>
      <w:r>
        <w:t xml:space="preserve"> </w:t>
      </w:r>
      <w:r>
        <w:t xml:space="preserve">canon document version the change was made against, and the</w:t>
      </w:r>
      <w:r>
        <w:t xml:space="preserve"> </w:t>
      </w:r>
      <w:r>
        <w:t xml:space="preserve">verification hash of the resulting state. The schema contract</w:t>
      </w:r>
      <w:r>
        <w:t xml:space="preserve"> </w:t>
      </w:r>
      <w:r>
        <w:rPr>
          <w:rStyle w:val="VerbatimChar"/>
        </w:rPr>
        <w:t xml:space="preserve">ssot-mutation: never</w:t>
      </w:r>
      <w:r>
        <w:t xml:space="preserve"> </w:t>
      </w:r>
      <w:r>
        <w:t xml:space="preserve">is enforced: adapters consume and emit against</w:t>
      </w:r>
      <w:r>
        <w:t xml:space="preserve"> </w:t>
      </w:r>
      <w:r>
        <w:t xml:space="preserve">the canon, never replace it. The</w:t>
      </w:r>
      <w:r>
        <w:t xml:space="preserve"> </w:t>
      </w:r>
      <w:r>
        <w:rPr>
          <w:rStyle w:val="VerbatimChar"/>
        </w:rPr>
        <w:t xml:space="preserve">certificate-anchored: true</w:t>
      </w:r>
      <w:r>
        <w:t xml:space="preserve"> </w:t>
      </w:r>
      <w:r>
        <w:t xml:space="preserve">contract requires every operation to be signed by an identity</w:t>
      </w:r>
      <w:r>
        <w:t xml:space="preserve"> </w:t>
      </w:r>
      <w:r>
        <w:t xml:space="preserve">certificate; the agency’s deployment uses the same ADCS hierarchy</w:t>
      </w:r>
      <w:r>
        <w:t xml:space="preserve"> </w:t>
      </w:r>
      <w:r>
        <w:t xml:space="preserve">the PKI adapter governs for substrate operations as well as user</w:t>
      </w:r>
      <w:r>
        <w:t xml:space="preserve"> </w:t>
      </w:r>
      <w:r>
        <w:t xml:space="preserve">authentication.</w:t>
      </w:r>
    </w:p>
    <w:p>
      <w:pPr>
        <w:pStyle w:val="BodyText"/>
      </w:pPr>
      <w:r>
        <w:t xml:space="preserve">During migration, drift findings emerge in real time. The drift</w:t>
      </w:r>
      <w:r>
        <w:t xml:space="preserve"> </w:t>
      </w:r>
      <w:r>
        <w:t xml:space="preserve">taxonomy formalized in</w:t>
      </w:r>
      <w:r>
        <w:t xml:space="preserve"> </w:t>
      </w:r>
      <w:r>
        <w:rPr>
          <w:rStyle w:val="VerbatimChar"/>
        </w:rPr>
        <w:t xml:space="preserve">16_DriftDetectionStandard</w:t>
      </w:r>
      <w:r>
        <w:t xml:space="preserve"> </w:t>
      </w:r>
      <w:r>
        <w:t xml:space="preserve">§2 surfaces five classes: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DRIFT-SCHEMA</w:t>
      </w:r>
      <w:r>
        <w:t xml:space="preserve"> </w:t>
      </w:r>
      <w:r>
        <w:t xml:space="preserve">— a recently-migrated computer object has an</w:t>
      </w:r>
      <w:r>
        <w:t xml:space="preserve"> </w:t>
      </w:r>
      <w:r>
        <w:t xml:space="preserve">attribute encoding that does not match the canon schema version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DRIFT-SEMANTIC</w:t>
      </w:r>
      <w:r>
        <w:t xml:space="preserve"> </w:t>
      </w:r>
      <w:r>
        <w:t xml:space="preserve">— an organizational attribute value drifts into a deprecated</w:t>
      </w:r>
      <w:r>
        <w:t xml:space="preserve"> </w:t>
      </w:r>
      <w:r>
        <w:t xml:space="preserve">geographic OU encoding pattern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DRIFT-PROVENANCE</w:t>
      </w:r>
      <w:r>
        <w:t xml:space="preserve"> </w:t>
      </w:r>
      <w:r>
        <w:t xml:space="preserve">— a state change appears with no recorded</w:t>
      </w:r>
      <w:r>
        <w:t xml:space="preserve"> </w:t>
      </w:r>
      <w:r>
        <w:t xml:space="preserve">provenance event in the chain (this is a P1 condition — the migration</w:t>
      </w:r>
      <w:r>
        <w:t xml:space="preserve"> </w:t>
      </w:r>
      <w:r>
        <w:t xml:space="preserve">is halted and the change is investigated before resuming)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DRIFT-AUTHZ</w:t>
      </w:r>
      <w:r>
        <w:t xml:space="preserve"> </w:t>
      </w:r>
      <w:r>
        <w:t xml:space="preserve">— a Conditional Access policy in Entra ID</w:t>
      </w:r>
      <w:r>
        <w:t xml:space="preserve"> </w:t>
      </w:r>
      <w:r>
        <w:t xml:space="preserve">contradicts the NIST 800-63 AAL requirement encoded for that</w:t>
      </w:r>
      <w:r>
        <w:t xml:space="preserve"> </w:t>
      </w:r>
      <w:r>
        <w:t xml:space="preserve">principal in the COR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DRIFT-IDENTITY</w:t>
      </w:r>
      <w:r>
        <w:t xml:space="preserve"> </w:t>
      </w:r>
      <w:r>
        <w:t xml:space="preserve">— a principal exists in the migrated tenant</w:t>
      </w:r>
      <w:r>
        <w:t xml:space="preserve"> </w:t>
      </w:r>
      <w:r>
        <w:t xml:space="preserve">with no resolvable canon counterpart (orphan migration artifact)</w:t>
      </w:r>
    </w:p>
    <w:p>
      <w:pPr>
        <w:pStyle w:val="FirstParagraph"/>
      </w:pPr>
      <w:r>
        <w:t xml:space="preserve">The agency in this archetype encounters approximately three hundred</w:t>
      </w:r>
      <w:r>
        <w:t xml:space="preserve"> </w:t>
      </w:r>
      <w:r>
        <w:t xml:space="preserve">drift findings across the migration window, the majority P3 and P4</w:t>
      </w:r>
      <w:r>
        <w:t xml:space="preserve"> </w:t>
      </w:r>
      <w:r>
        <w:t xml:space="preserve">(auto-remediated per §4 of the drift standard). The single P1 event</w:t>
      </w:r>
      <w:r>
        <w:t xml:space="preserve"> </w:t>
      </w:r>
      <w:r>
        <w:t xml:space="preserve">in a representative cycle is a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 </w:t>
      </w:r>
      <w:r>
        <w:t xml:space="preserve">against a Finance</w:t>
      </w:r>
      <w:r>
        <w:t xml:space="preserve"> </w:t>
      </w:r>
      <w:r>
        <w:t xml:space="preserve">service account whose post-migration role assignment exceeds the</w:t>
      </w:r>
      <w:r>
        <w:t xml:space="preserve"> </w:t>
      </w:r>
      <w:r>
        <w:t xml:space="preserve">AAL-3 requirement the canon records; the substrate halts the migration</w:t>
      </w:r>
      <w:r>
        <w:t xml:space="preserve"> </w:t>
      </w:r>
      <w:r>
        <w:t xml:space="preserve">of the dependent SQL instance until the role assignment is reduced.</w:t>
      </w:r>
    </w:p>
    <w:bookmarkEnd w:id="18"/>
    <w:bookmarkStart w:id="19" w:name="phase-5-validate"/>
    <w:p>
      <w:pPr>
        <w:pStyle w:val="Heading2"/>
      </w:pPr>
      <w:r>
        <w:t xml:space="preserve">Phase 5 — Validate</w:t>
      </w:r>
    </w:p>
    <w:p>
      <w:pPr>
        <w:pStyle w:val="FirstParagraph"/>
      </w:pPr>
      <w:r>
        <w:t xml:space="preserve">Post-migration, the SPN inventory is captured a second time, this</w:t>
      </w:r>
      <w:r>
        <w:t xml:space="preserve"> </w:t>
      </w:r>
      <w:r>
        <w:t xml:space="preserve">time with</w:t>
      </w:r>
      <w:r>
        <w:t xml:space="preserve"> </w:t>
      </w:r>
      <w:r>
        <w:rPr>
          <w:rStyle w:val="VerbatimChar"/>
        </w:rPr>
        <w:t xml:space="preserve">phase: post_migration</w:t>
      </w:r>
      <w:r>
        <w:t xml:space="preserve">. The substrate’s drift comparison</w:t>
      </w:r>
      <w:r>
        <w:t xml:space="preserve"> </w:t>
      </w:r>
      <w:r>
        <w:t xml:space="preserve">applies the four SPN-drift conditions catalogued in</w:t>
      </w:r>
      <w:r>
        <w:t xml:space="preserve"> </w:t>
      </w:r>
      <w:r>
        <w:rPr>
          <w:rStyle w:val="VerbatimChar"/>
        </w:rPr>
        <w:t xml:space="preserve">16_DriftDetectionStandard</w:t>
      </w:r>
      <w:r>
        <w:t xml:space="preserve"> </w:t>
      </w:r>
      <w:r>
        <w:t xml:space="preserve">§7.1: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Drift class</w:t>
            </w:r>
          </w:p>
        </w:tc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Detection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SPN present pre-migration, absent post-migration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Set-difference between phase-tagged inventories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SPN host or port changed without provenance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Same</w:t>
            </w:r>
            <w:r>
              <w:t xml:space="preserve"> </w:t>
            </w:r>
            <w:r>
              <w:rPr>
                <w:rStyle w:val="VerbatimChar"/>
              </w:rPr>
              <w:t xml:space="preserve">(service_class, principal_name)</w:t>
            </w:r>
            <w:r>
              <w:t xml:space="preserve"> </w:t>
            </w:r>
            <w:r>
              <w:t xml:space="preserve">key, different host or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SPN owner changed without recorded migration 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Same SPN, different principal, no transition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SPN in AD but no Entra Kerberos delegation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Cross-reference fails between AD and workload-identity federation</w:t>
            </w:r>
          </w:p>
        </w:tc>
      </w:tr>
    </w:tbl>
    <w:p>
      <w:pPr>
        <w:pStyle w:val="BodyText"/>
      </w:pPr>
      <w:r>
        <w:t xml:space="preserve">For this archetype, approximately three SPNs surface as P1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 </w:t>
      </w:r>
      <w:r>
        <w:t xml:space="preserve">findings (SPNs whose re-registration step was</w:t>
      </w:r>
      <w:r>
        <w:t xml:space="preserve"> </w:t>
      </w:r>
      <w:r>
        <w:t xml:space="preserve">skipped during the SQL Server adapter’s migration sequence). These</w:t>
      </w:r>
      <w:r>
        <w:t xml:space="preserve"> </w:t>
      </w:r>
      <w:r>
        <w:t xml:space="preserve">become halt-and-alert conditions per the severity model in</w:t>
      </w:r>
      <w:r>
        <w:t xml:space="preserve"> </w:t>
      </w:r>
      <w:r>
        <w:rPr>
          <w:rStyle w:val="VerbatimChar"/>
        </w:rPr>
        <w:t xml:space="preserve">16_DriftDetectionStandard</w:t>
      </w:r>
      <w:r>
        <w:t xml:space="preserve"> </w:t>
      </w:r>
      <w:r>
        <w:t xml:space="preserve">§3;</w:t>
      </w:r>
      <w:r>
        <w:t xml:space="preserve"> </w:t>
      </w:r>
      <w:r>
        <w:t xml:space="preserve">the agency’s operations team re-registers the SPNs against the</w:t>
      </w:r>
      <w:r>
        <w:t xml:space="preserve"> </w:t>
      </w:r>
      <w:r>
        <w:t xml:space="preserve">migrated principals and re-runs the post-migration inventory until</w:t>
      </w:r>
      <w:r>
        <w:t xml:space="preserve"> </w:t>
      </w:r>
      <w:r>
        <w:t xml:space="preserve">zero P1 findings remain.</w:t>
      </w:r>
    </w:p>
    <w:bookmarkEnd w:id="19"/>
    <w:bookmarkStart w:id="20" w:name="the-azure-ssot-bridge"/>
    <w:p>
      <w:pPr>
        <w:pStyle w:val="Heading2"/>
      </w:pPr>
      <w:r>
        <w:t xml:space="preserve">The Azure SSOT bridge</w:t>
      </w:r>
    </w:p>
    <w:p>
      <w:pPr>
        <w:pStyle w:val="FirstParagraph"/>
      </w:pPr>
      <w:r>
        <w:t xml:space="preserve">With the identity migration complete, the agency’s data plane joins</w:t>
      </w:r>
      <w:r>
        <w:t xml:space="preserve"> </w:t>
      </w:r>
      <w:r>
        <w:t xml:space="preserve">the substrate.</w:t>
      </w:r>
    </w:p>
    <w:p>
      <w:pPr>
        <w:pStyle w:val="BodyText"/>
      </w:pPr>
      <w:r>
        <w:t xml:space="preserve">On the user plane, the existing Adaptive Policy Scopes target</w:t>
      </w:r>
      <w:r>
        <w:t xml:space="preserve"> </w:t>
      </w:r>
      <w:r>
        <w:t xml:space="preserve">each segment’s labels, DLP rules, retention schedules, and eDiscovery</w:t>
      </w:r>
      <w:r>
        <w:t xml:space="preserve"> </w:t>
      </w:r>
      <w:r>
        <w:t xml:space="preserve">custodian queries. On the data plane, Fabric Domains are created to</w:t>
      </w:r>
      <w:r>
        <w:t xml:space="preserve"> </w:t>
      </w:r>
      <w:r>
        <w:t xml:space="preserve">mirror the organizational hierarchy; the agency provisions one domain per</w:t>
      </w:r>
      <w:r>
        <w:t xml:space="preserve"> </w:t>
      </w:r>
      <w:r>
        <w:rPr>
          <w:rStyle w:val="VerbatimChar"/>
        </w:rPr>
        <w:t xml:space="preserve">FabricDomainBoundary</w:t>
      </w:r>
      <w:r>
        <w:t xml:space="preserve">-flagged node, and each Fabric workspace is</w:t>
      </w:r>
      <w:r>
        <w:t xml:space="preserve"> </w:t>
      </w:r>
      <w:r>
        <w:t xml:space="preserve">assigned to the domain that matches the workspace’s owning</w:t>
      </w:r>
      <w:r>
        <w:t xml:space="preserve"> </w:t>
      </w:r>
      <w:r>
        <w:t xml:space="preserve">segment. The ninety SQL instances are registered into the Purview</w:t>
      </w:r>
      <w:r>
        <w:t xml:space="preserve"> </w:t>
      </w:r>
      <w:r>
        <w:t xml:space="preserve">data map under collections keyed on custom metadata;</w:t>
      </w:r>
      <w:r>
        <w:t xml:space="preserve"> </w:t>
      </w:r>
      <w:r>
        <w:t xml:space="preserve">the eighty-five that completed migration cleanly are mirrored into</w:t>
      </w:r>
      <w:r>
        <w:t xml:space="preserve"> </w:t>
      </w:r>
      <w:r>
        <w:t xml:space="preserve">OneLake under the matching Fabric Domain workspaces. The remaining</w:t>
      </w:r>
      <w:r>
        <w:t xml:space="preserve"> </w:t>
      </w:r>
      <w:r>
        <w:t xml:space="preserve">five — instances whose post-migration drift is still being remediated</w:t>
      </w:r>
      <w:r>
        <w:t xml:space="preserve"> </w:t>
      </w:r>
      <w:r>
        <w:t xml:space="preserve">— are deferred until the drift cycle closes.</w:t>
      </w:r>
    </w:p>
    <w:p>
      <w:pPr>
        <w:pStyle w:val="BodyText"/>
      </w:pPr>
      <w:r>
        <w:t xml:space="preserve">The Purview Information Protection telemetry constraint catalogued in</w:t>
      </w:r>
      <w:r>
        <w:t xml:space="preserve"> </w:t>
      </w:r>
      <w:r>
        <w:t xml:space="preserve">B.1.1 §3</w:t>
      </w:r>
      <w:r>
        <w:t xml:space="preserve"> </w:t>
      </w:r>
      <w:r>
        <w:t xml:space="preserve">applies: every sensitivity-label trust assertion in the GCC-Moderate</w:t>
      </w:r>
      <w:r>
        <w:t xml:space="preserve"> </w:t>
      </w:r>
      <w:r>
        <w:t xml:space="preserve">tenant inherits the boundary’s verification gap. The substrate’s role</w:t>
      </w:r>
      <w:r>
        <w:t xml:space="preserve"> </w:t>
      </w:r>
      <w:r>
        <w:t xml:space="preserve">at this boundary is not to remediate it (it is structural) but to</w:t>
      </w:r>
      <w:r>
        <w:t xml:space="preserve"> </w:t>
      </w:r>
      <w:r>
        <w:t xml:space="preserve">record the compensating controls the agency has put in place and</w:t>
      </w:r>
      <w:r>
        <w:t xml:space="preserve"> </w:t>
      </w:r>
      <w:r>
        <w:t xml:space="preserve">verify them continuously.</w:t>
      </w:r>
    </w:p>
    <w:bookmarkEnd w:id="20"/>
    <w:bookmarkStart w:id="21" w:name="X8647eb54451234531754f6fbaa735de947b6d74"/>
    <w:p>
      <w:pPr>
        <w:pStyle w:val="Heading2"/>
      </w:pPr>
      <w:r>
        <w:t xml:space="preserve">The Evidence Bundle the assessor consumes</w:t>
      </w:r>
    </w:p>
    <w:p>
      <w:pPr>
        <w:pStyle w:val="FirstParagraph"/>
      </w:pPr>
      <w:r>
        <w:t xml:space="preserve">At any point after Phase 2 begins, the agency can produce an Evidence</w:t>
      </w:r>
      <w:r>
        <w:t xml:space="preserve"> </w:t>
      </w:r>
      <w:r>
        <w:t xml:space="preserve">Bundle from the substrate’s accumulated artifacts. The bundle includes:</w:t>
      </w:r>
    </w:p>
    <w:p>
      <w:pPr>
        <w:pStyle w:val="Compact"/>
        <w:numPr>
          <w:ilvl w:val="0"/>
          <w:numId w:val="1002"/>
        </w:numPr>
      </w:pPr>
      <w:r>
        <w:t xml:space="preserve">The readiness bundle from each phase, HMAC-signed</w:t>
      </w:r>
    </w:p>
    <w:p>
      <w:pPr>
        <w:pStyle w:val="Compact"/>
        <w:numPr>
          <w:ilvl w:val="0"/>
          <w:numId w:val="1002"/>
        </w:numPr>
      </w:pPr>
      <w:r>
        <w:t xml:space="preserve">Both phase-tagged SPN inventories (pre- and post-migration) with</w:t>
      </w:r>
      <w:r>
        <w:t xml:space="preserve"> </w:t>
      </w:r>
      <w:r>
        <w:t xml:space="preserve">drift comparison results</w:t>
      </w:r>
    </w:p>
    <w:p>
      <w:pPr>
        <w:pStyle w:val="Compact"/>
        <w:numPr>
          <w:ilvl w:val="0"/>
          <w:numId w:val="1002"/>
        </w:numPr>
      </w:pPr>
      <w:r>
        <w:t xml:space="preserve">The provenance chain of every adapter operation</w:t>
      </w:r>
    </w:p>
    <w:p>
      <w:pPr>
        <w:pStyle w:val="Compact"/>
        <w:numPr>
          <w:ilvl w:val="0"/>
          <w:numId w:val="1002"/>
        </w:numPr>
      </w:pPr>
      <w:r>
        <w:t xml:space="preserve">All drift findings, each with severity, drift class, and remediation</w:t>
      </w:r>
      <w:r>
        <w:t xml:space="preserve"> </w:t>
      </w:r>
      <w:r>
        <w:t xml:space="preserve">evidence per the contract in</w:t>
      </w:r>
      <w:r>
        <w:t xml:space="preserve"> </w:t>
      </w:r>
      <w:r>
        <w:rPr>
          <w:rStyle w:val="VerbatimChar"/>
        </w:rPr>
        <w:t xml:space="preserve">16_DriftDetectionStandard</w:t>
      </w:r>
      <w:r>
        <w:t xml:space="preserve"> </w:t>
      </w:r>
      <w:r>
        <w:t xml:space="preserve">§4</w:t>
      </w:r>
    </w:p>
    <w:p>
      <w:pPr>
        <w:pStyle w:val="Compact"/>
        <w:numPr>
          <w:ilvl w:val="0"/>
          <w:numId w:val="1002"/>
        </w:numPr>
      </w:pPr>
      <w:r>
        <w:t xml:space="preserve">The B.1.1 three-way GCC-Moderate compliance-conflict finding</w:t>
      </w:r>
      <w:r>
        <w:t xml:space="preserve"> </w:t>
      </w:r>
      <w:r>
        <w:t xml:space="preserve">(</w:t>
      </w:r>
      <w:r>
        <w:rPr>
          <w:rStyle w:val="VerbatimChar"/>
        </w:rPr>
        <w:t xml:space="preserve">GCC-BOUNDARY-3WAY-001</w:t>
      </w:r>
      <w:r>
        <w:t xml:space="preserve">) with the agency’s specific compensating-</w:t>
      </w:r>
      <w:r>
        <w:t xml:space="preserve"> </w:t>
      </w:r>
      <w:r>
        <w:t xml:space="preserve">controls catalogue</w:t>
      </w:r>
    </w:p>
    <w:p>
      <w:pPr>
        <w:pStyle w:val="Compact"/>
        <w:numPr>
          <w:ilvl w:val="0"/>
          <w:numId w:val="1002"/>
        </w:numPr>
      </w:pPr>
      <w:r>
        <w:t xml:space="preserve">The Purview collection registration state with attribution per asset</w:t>
      </w:r>
    </w:p>
    <w:p>
      <w:pPr>
        <w:pStyle w:val="Compact"/>
        <w:numPr>
          <w:ilvl w:val="0"/>
          <w:numId w:val="1002"/>
        </w:numPr>
      </w:pPr>
      <w:r>
        <w:t xml:space="preserve">The Fabric Domain assignment state with per-workspace</w:t>
      </w:r>
      <w:r>
        <w:t xml:space="preserve"> </w:t>
      </w:r>
      <w:r>
        <w:t xml:space="preserve">attribution</w:t>
      </w:r>
    </w:p>
    <w:p>
      <w:pPr>
        <w:pStyle w:val="FirstParagraph"/>
      </w:pPr>
      <w:r>
        <w:t xml:space="preserve">This is the artifact the 3PAO consumes during the next FedRAMP cycle.</w:t>
      </w:r>
      <w:r>
        <w:t xml:space="preserve"> </w:t>
      </w:r>
      <w:r>
        <w:t xml:space="preserve">It is produced as a byproduct of operations rather than assembled</w:t>
      </w:r>
      <w:r>
        <w:t xml:space="preserve"> </w:t>
      </w:r>
      <w:r>
        <w:t xml:space="preserve">retrospectively in a twelve-month window. The agency’s authorizing</w:t>
      </w:r>
      <w:r>
        <w:t xml:space="preserve"> </w:t>
      </w:r>
      <w:r>
        <w:t xml:space="preserve">official sees the substrate’s state at any moment, not a stale</w:t>
      </w:r>
      <w:r>
        <w:t xml:space="preserve"> </w:t>
      </w:r>
      <w:r>
        <w:t xml:space="preserve">snapshot.</w:t>
      </w:r>
    </w:p>
    <w:bookmarkEnd w:id="21"/>
    <w:bookmarkStart w:id="22" w:name="what-survives-the-engagement"/>
    <w:p>
      <w:pPr>
        <w:pStyle w:val="Heading2"/>
      </w:pPr>
      <w:r>
        <w:t xml:space="preserve">What survives the engagement</w:t>
      </w:r>
    </w:p>
    <w:p>
      <w:pPr>
        <w:pStyle w:val="FirstParagraph"/>
      </w:pPr>
      <w:r>
        <w:t xml:space="preserve">The deliberate point of the substrate is that the canon, the schemas,</w:t>
      </w:r>
      <w:r>
        <w:t xml:space="preserve"> </w:t>
      </w:r>
      <w:r>
        <w:t xml:space="preserve">the drift findings, and the Evidence Bundle do not belong to whichever</w:t>
      </w:r>
      <w:r>
        <w:t xml:space="preserve"> </w:t>
      </w:r>
      <w:r>
        <w:t xml:space="preserve">system integrator delivered the migration. They belong to the agency.</w:t>
      </w:r>
      <w:r>
        <w:t xml:space="preserve"> </w:t>
      </w:r>
      <w:r>
        <w:t xml:space="preserve">The next FedRAMP cycle consumes the existing canon rather than</w:t>
      </w:r>
      <w:r>
        <w:t xml:space="preserve"> </w:t>
      </w:r>
      <w:r>
        <w:t xml:space="preserve">rebuilding it. A subsequent SI engagement — for the next modernization</w:t>
      </w:r>
      <w:r>
        <w:t xml:space="preserve"> </w:t>
      </w:r>
      <w:r>
        <w:t xml:space="preserve">program, the next directory consolidation, the next data-governance</w:t>
      </w:r>
      <w:r>
        <w:t xml:space="preserve"> </w:t>
      </w:r>
      <w:r>
        <w:t xml:space="preserve">expansion — anchors on the substrate’s state rather than starting from</w:t>
      </w:r>
      <w:r>
        <w:t xml:space="preserve"> </w:t>
      </w:r>
      <w:r>
        <w:t xml:space="preserve">zero. This is the cost-shape inversion the</w:t>
      </w:r>
      <w:r>
        <w:t xml:space="preserve"> </w:t>
      </w:r>
      <w:hyperlink r:id="rId13">
        <w:r>
          <w:rPr>
            <w:rStyle w:val="Hyperlink"/>
          </w:rPr>
          <w:t xml:space="preserve">Federal SSOT Alignment whitepaper §6</w:t>
        </w:r>
      </w:hyperlink>
      <w:r>
        <w:t xml:space="preserve"> </w:t>
      </w:r>
      <w:r>
        <w:t xml:space="preserve">describes: re-engagement consumes canon; it does not rediscover it.</w:t>
      </w:r>
    </w:p>
    <w:p>
      <w:pPr>
        <w:pStyle w:val="BodyText"/>
      </w:pPr>
      <w:r>
        <w:t xml:space="preserve">The substrate behaviors a real engagement would document and that this</w:t>
      </w:r>
      <w:r>
        <w:t xml:space="preserve"> </w:t>
      </w:r>
      <w:r>
        <w:t xml:space="preserve">framing pattern is structured to receive:</w:t>
      </w:r>
    </w:p>
    <w:p>
      <w:pPr>
        <w:pStyle w:val="Compact"/>
        <w:numPr>
          <w:ilvl w:val="0"/>
          <w:numId w:val="1003"/>
        </w:numPr>
      </w:pPr>
      <w:r>
        <w:t xml:space="preserve">Time-to-evidence under the substrate vs. the prior twelve-month</w:t>
      </w:r>
      <w:r>
        <w:t xml:space="preserve"> </w:t>
      </w:r>
      <w:r>
        <w:t xml:space="preserve">baseline</w:t>
      </w:r>
    </w:p>
    <w:p>
      <w:pPr>
        <w:pStyle w:val="Compact"/>
        <w:numPr>
          <w:ilvl w:val="0"/>
          <w:numId w:val="1003"/>
        </w:numPr>
      </w:pPr>
      <w:r>
        <w:t xml:space="preserve">Drift-finding rate over the migration window, decomposed by class</w:t>
      </w:r>
      <w:r>
        <w:t xml:space="preserve"> </w:t>
      </w:r>
      <w:r>
        <w:t xml:space="preserve">and severity</w:t>
      </w:r>
    </w:p>
    <w:p>
      <w:pPr>
        <w:pStyle w:val="Compact"/>
        <w:numPr>
          <w:ilvl w:val="0"/>
          <w:numId w:val="1003"/>
        </w:numPr>
      </w:pPr>
      <w:r>
        <w:t xml:space="preserve">SPN drift incidence per ten instances migrated</w:t>
      </w:r>
    </w:p>
    <w:p>
      <w:pPr>
        <w:pStyle w:val="Compact"/>
        <w:numPr>
          <w:ilvl w:val="0"/>
          <w:numId w:val="1003"/>
        </w:numPr>
      </w:pPr>
      <w:r>
        <w:t xml:space="preserve">B.1.1 compensating-controls verification cadence and false-positive</w:t>
      </w:r>
      <w:r>
        <w:t xml:space="preserve"> </w:t>
      </w:r>
      <w:r>
        <w:t xml:space="preserve">rate</w:t>
      </w:r>
    </w:p>
    <w:p>
      <w:pPr>
        <w:pStyle w:val="Compact"/>
        <w:numPr>
          <w:ilvl w:val="0"/>
          <w:numId w:val="1003"/>
        </w:numPr>
      </w:pPr>
      <w:r>
        <w:t xml:space="preserve">Purview policy-decision count whose trust assertion is now backed by</w:t>
      </w:r>
      <w:r>
        <w:t xml:space="preserve"> </w:t>
      </w:r>
      <w:r>
        <w:t xml:space="preserve">continuously-verified identity state</w:t>
      </w:r>
    </w:p>
    <w:p>
      <w:pPr>
        <w:pStyle w:val="FirstParagraph"/>
      </w:pPr>
      <w:r>
        <w:t xml:space="preserve">When real engagement material becomes externally releasable, those</w:t>
      </w:r>
      <w:r>
        <w:t xml:space="preserve"> </w:t>
      </w:r>
      <w:r>
        <w:t xml:space="preserve">metrics replace the prose-level claims above. Until then this page is</w:t>
      </w:r>
      <w:r>
        <w:t xml:space="preserve"> </w:t>
      </w:r>
      <w:r>
        <w:t xml:space="preserve">the canonical archetype the substrate is built against and the shape</w:t>
      </w:r>
      <w:r>
        <w:t xml:space="preserve"> </w:t>
      </w:r>
      <w:r>
        <w:t xml:space="preserve">the Evidence Bundle is produced into.</w:t>
      </w:r>
    </w:p>
    <w:bookmarkEnd w:id="22"/>
    <w:bookmarkStart w:id="25" w:name="cross-references"/>
    <w:p>
      <w:pPr>
        <w:pStyle w:val="Heading2"/>
      </w:pPr>
      <w:r>
        <w:t xml:space="preserve">Cross-references</w:t>
      </w:r>
    </w:p>
    <w:p>
      <w:pPr>
        <w:pStyle w:val="Compact"/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Federal SSOT Alignment whitepaper</w:t>
        </w:r>
      </w:hyperlink>
      <w:r>
        <w:t xml:space="preserve"> </w:t>
      </w:r>
      <w:r>
        <w:t xml:space="preserve">— federal mandate alignment over the identity layer</w:t>
      </w:r>
    </w:p>
    <w:p>
      <w:pPr>
        <w:pStyle w:val="Compact"/>
        <w:numPr>
          <w:ilvl w:val="0"/>
          <w:numId w:val="1004"/>
        </w:numPr>
      </w:pPr>
      <w:r>
        <w:t xml:space="preserve">B.1 GCC-Moderate Boundary Model — abstract boundary model</w:t>
      </w:r>
    </w:p>
    <w:p>
      <w:pPr>
        <w:pStyle w:val="Compact"/>
        <w:numPr>
          <w:ilvl w:val="0"/>
          <w:numId w:val="1004"/>
        </w:numPr>
      </w:pPr>
      <w:r>
        <w:t xml:space="preserve">B.1.1 Three-Way GCC-Moderate Compliance Conflict — TIC 3.0 × Zero Trust × FedRAMP 20x finding</w:t>
      </w:r>
    </w:p>
    <w:p>
      <w:pPr>
        <w:pStyle w:val="Compact"/>
        <w:numPr>
          <w:ilvl w:val="0"/>
          <w:numId w:val="1004"/>
        </w:numPr>
      </w:pPr>
      <w:r>
        <w:t xml:space="preserve">Drift Detection Standard — drift taxonomy, severity model, and §7.1 SPN drift detection</w:t>
      </w:r>
    </w:p>
    <w:p>
      <w:pPr>
        <w:pStyle w:val="Compact"/>
        <w:numPr>
          <w:ilvl w:val="0"/>
          <w:numId w:val="1004"/>
        </w:numPr>
      </w:pPr>
      <w:r>
        <w:t xml:space="preserve">Directory Migration README — discovery and inventory artifacts</w:t>
      </w:r>
    </w:p>
    <w:p>
      <w:pPr>
        <w:pStyle w:val="Compact"/>
        <w:numPr>
          <w:ilvl w:val="0"/>
          <w:numId w:val="1004"/>
        </w:numPr>
      </w:pPr>
      <w:r>
        <w:t xml:space="preserve">SQL Server Adapter Interface — DM_090 adapter contract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Identity Modernization — Case Study</w:t>
        </w:r>
      </w:hyperlink>
      <w:r>
        <w:t xml:space="preserve"> </w:t>
      </w:r>
      <w:r>
        <w:t xml:space="preserve">— identity-plane case-study companion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Cloud Boundary — Case Study</w:t>
        </w:r>
      </w:hyperlink>
      <w:r>
        <w:t xml:space="preserve"> </w:t>
      </w:r>
      <w:r>
        <w:t xml:space="preserve">— GCC-Moderate boundary establishment companion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../whitepapers/federal-ssot-alignment.md" TargetMode="External" /><Relationship Type="http://schemas.openxmlformats.org/officeDocument/2006/relationships/hyperlink" Id="rId24" Target="cloud-boundary-case-study.md" TargetMode="External" /><Relationship Type="http://schemas.openxmlformats.org/officeDocument/2006/relationships/hyperlink" Id="rId12" Target="https://cyber.dhs.gov/bod/25-01/" TargetMode="External" /><Relationship Type="http://schemas.openxmlformats.org/officeDocument/2006/relationships/hyperlink" Id="rId23" Target="identity-modernization-case-study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whitepapers/federal-ssot-alignment.md" TargetMode="External" /><Relationship Type="http://schemas.openxmlformats.org/officeDocument/2006/relationships/hyperlink" Id="rId24" Target="cloud-boundary-case-study.md" TargetMode="External" /><Relationship Type="http://schemas.openxmlformats.org/officeDocument/2006/relationships/hyperlink" Id="rId12" Target="https://cyber.dhs.gov/bod/25-01/" TargetMode="External" /><Relationship Type="http://schemas.openxmlformats.org/officeDocument/2006/relationships/hyperlink" Id="rId23" Target="identity-modernization-case-study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Civilian AD → Entra ID + SQL Estate — Reference Deployment Pattern</dc:title>
  <dc:creator/>
  <cp:keywords/>
  <dcterms:created xsi:type="dcterms:W3CDTF">2026-10-19T10:09:18Z</dcterms:created>
  <dcterms:modified xsi:type="dcterms:W3CDTF">2026-10-19T10:09:18Z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derived-from">
    <vt:lpwstr>fmp canon</vt:lpwstr>
  </property>
  <property fmtid="{D5CDD505-2E9C-101B-9397-08002B2CF9AE}" pid="6" name="doc-type">
    <vt:lpwstr>case-study-pattern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adopted</vt:lpwstr>
  </property>
  <property fmtid="{D5CDD505-2E9C-101B-9397-08002B2CF9AE}" pid="12" name="lifecycle_review">
    <vt:lpwstr>2026-11-22</vt:lpwstr>
  </property>
  <property fmtid="{D5CDD505-2E9C-101B-9397-08002B2CF9AE}" pid="13" name="status">
    <vt:lpwstr>framing-pattern</vt:lpwstr>
  </property>
  <property fmtid="{D5CDD505-2E9C-101B-9397-08002B2CF9AE}" pid="14" name="subtitle">
    <vt:lpwstr>End-to-end substrate walkthrough for a mid-size federal agency with two AD forests, a sprawling SQL estate, and a GCC-Moderate destination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