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Security-Approval (ATO) Kit</w:t>
      </w:r>
    </w:p>
    <w:p>
      <w:pPr>
        <w:pStyle w:val="Subtitle"/>
      </w:pPr>
      <w:r>
        <w:t xml:space="preserve">Boundary diagram, outbound endpoints, FedRAMP audit scope, Graph permission justification, token-folder mitigation, break-glass design and a licensing bill of materials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0" w:name="appendix-b-security-approval-ato-kit"/>
    <w:p>
      <w:pPr>
        <w:pStyle w:val="Heading1"/>
      </w:pPr>
      <w:r>
        <w:t xml:space="preserve">Appendix B — Security-Approval (ATO) Kit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Supports an authorization decision; doesn’t make one</w:t>
            </w:r>
          </w:p>
        </w:tc>
      </w:tr>
      <w:tr>
        <w:trPr>
          <w:cantSplit/>
        </w:trPr>
        <w:tc>
          <w:tcPr>
            <w:tcMar>
              <w:top w:w="108" w:type="dxa"/>
              <w:bottom w:w="108" w:type="dxa"/>
            </w:tcMar>
          </w:tcPr>
          <w:p>
            <w:pPr>
              <w:pStyle w:val="BodyText"/>
            </w:pPr>
            <w:pPr>
              <w:spacing w:before="16" w:after="16"/>
            </w:pPr>
            <w:r>
              <w:t xml:space="preserve">The authorization boundary, interconnection and leveraged-authorization language, and the risk decision belong to the agency’s authorizing official. This kit collects the facts an assessor will ask for. Platform facts were checked on 19 October 2026 and apply to Microsoft’s commercial cloud, including GCC-Moderate; see</w:t>
            </w:r>
            <w:r>
              <w:t xml:space="preserve"> </w:t>
            </w:r>
            <w:hyperlink r:id="rId12">
              <w:r>
                <w:rPr>
                  <w:rStyle w:val="Hyperlink"/>
                </w:rPr>
                <w:t xml:space="preserve">Applicability</w:t>
              </w:r>
            </w:hyperlink>
            <w:r>
              <w:t xml:space="preserve"> </w:t>
            </w:r>
            <w:r>
              <w:t xml:space="preserve">for GCC High and DoD.</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appendix</w:t>
            </w:r>
          </w:p>
        </w:tc>
      </w:tr>
      <w:tr>
        <w:trPr>
          <w:cantSplit/>
        </w:trPr>
        <w:tc>
          <w:tcPr>
            <w:tcMar>
              <w:top w:w="108" w:type="dxa"/>
              <w:bottom w:w="108" w:type="dxa"/>
            </w:tcMar>
          </w:tcPr>
          <w:p>
            <w:pPr>
              <w:pStyle w:val="BodyText"/>
            </w:pPr>
            <w:pPr>
              <w:spacing w:before="16" w:after="16"/>
            </w:pPr>
            <w:hyperlink r:id="rId16">
              <w:r>
                <w:rPr>
                  <w:rStyle w:val="Hyperlink"/>
                  <w:b/>
                  <w:bCs/>
                </w:rPr>
                <w:t xml:space="preserve">Appendix_B-bundle.docx</w:t>
              </w:r>
            </w:hyperlink>
            <w:r>
              <w:t xml:space="preserve"> </w:t>
            </w:r>
            <w:r>
              <w:t xml:space="preserve">— this appendix as one Word document. Regenerated on every site deploy.</w:t>
            </w:r>
          </w:p>
          <w:p/>
        </w:tc>
      </w:tr>
    </w:tbl>
    <w:bookmarkStart w:id="24" w:name="boundary"/>
    <w:p>
      <w:pPr>
        <w:pStyle w:val="Heading2"/>
      </w:pPr>
      <w:r>
        <w:t xml:space="preserve">Boundary</w:t>
      </w:r>
    </w:p>
    <w:p>
      <w:pPr>
        <w:pStyle w:val="CaptionedFigure"/>
      </w:pPr>
      <w:r>
        <w:drawing>
          <wp:inline>
            <wp:extent cx="5334000" cy="2196352"/>
            <wp:effectExtent b="0" l="0" r="0" t="0"/>
            <wp:docPr descr="What runs inside the agency boundary and what it reaches outside it." title="" id="18" name="Picture"/>
            <a:graphic>
              <a:graphicData uri="http://schemas.openxmlformats.org/drawingml/2006/picture">
                <pic:pic>
                  <pic:nvPicPr>
                    <pic:cNvPr descr="../../images/sql-server/diagrams/svg/appendix-b-boundary.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20"/>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22"/>
      </w:r>
    </w:p>
    <w:bookmarkEnd w:id="24"/>
    <w:bookmarkStart w:id="28" w:name="outbound-endpoints"/>
    <w:p>
      <w:pPr>
        <w:pStyle w:val="Heading2"/>
      </w:pPr>
      <w:r>
        <w:t xml:space="preserve">Outbound endpoints</w:t>
      </w:r>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25"/>
      </w:r>
      <w:r>
        <w:t xml:space="preserve"> </w:t>
      </w:r>
      <w:r>
        <w:rPr>
          <w:rStyle w:val="FootnoteReference"/>
        </w:rPr>
        <w:footnoteReference w:id="2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w:t>
            </w:r>
          </w:p>
        </w:tc>
        <w:tc>
          <w:tcPr/>
          <w:p>
            <w:pPr>
              <w:pStyle w:val="Compact"/>
            </w:pPr>
            <w:r>
              <w:t xml:space="preserve">If Arc-enabled SQL Server is used</w:t>
            </w:r>
          </w:p>
        </w:tc>
      </w:tr>
      <w:tr>
        <w:tc>
          <w:tcPr/>
          <w:p>
            <w:pPr>
              <w:pStyle w:val="Compact"/>
            </w:pPr>
            <w:r>
              <w:rPr>
                <w:rStyle w:val="VerbatimChar"/>
              </w:rPr>
              <w:t xml:space="preserve">&lt;key-vault-name&gt;.vault.azure.net</w:t>
            </w:r>
            <w:r>
              <w:t xml:space="preserve">,</w:t>
            </w:r>
            <w:r>
              <w:t xml:space="preserve"> </w:t>
            </w:r>
            <w:r>
              <w:rPr>
                <w:rStyle w:val="VerbatimChar"/>
              </w:rPr>
              <w:t xml:space="preserve">graph.microsoft.com</w:t>
            </w:r>
          </w:p>
        </w:tc>
        <w:tc>
          <w:tcPr/>
          <w:p>
            <w:pPr>
              <w:pStyle w:val="Compact"/>
            </w:pPr>
            <w:r>
              <w:t xml:space="preserve">Microsoft Entra authentication with Arc-enabled SQL Server</w:t>
            </w:r>
          </w:p>
        </w:tc>
        <w:tc>
          <w:tcPr/>
          <w:p>
            <w:pPr>
              <w:pStyle w:val="Compact"/>
            </w:pPr>
            <w:r>
              <w:t xml:space="preserve">If Arc-enabled SQL Server is used</w:t>
            </w:r>
          </w:p>
        </w:tc>
      </w:tr>
    </w:tbl>
    <w:p>
      <w:pPr>
        <w:pStyle w:val="BodyText"/>
      </w:pPr>
      <w:r>
        <w:t xml:space="preserve">Use Microsoft’s page, not this table, as the firewall source of truth: it lists optional endpoints (Windows Admin Center, SSH, ESU certificates, license validation) and changes over time.</w:t>
      </w:r>
    </w:p>
    <w:bookmarkEnd w:id="28"/>
    <w:bookmarkStart w:id="31" w:name="Xbdbf29cf898ea21ee5b50c806a2daf974ba69f2"/>
    <w:p>
      <w:pPr>
        <w:pStyle w:val="Heading2"/>
      </w:pPr>
      <w:r>
        <w:t xml:space="preserve">FedRAMP audit scope of each leveraged service</w:t>
      </w:r>
    </w:p>
    <w:p>
      <w:pPr>
        <w:pStyle w:val="FirstParagraph"/>
      </w:pPr>
      <w:r>
        <w:t xml:space="preserve">Microsoft’s compliance-scope page lists each of these Azure public-cloud services as in scope for FedRAMP High (page dated 21 September 2026):</w:t>
      </w:r>
      <w:r>
        <w:rPr>
          <w:rStyle w:val="FootnoteReference"/>
        </w:rPr>
        <w:footnoteReference w:id="2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(Book 07)</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(Book 09)</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(Book 09)</w:t>
            </w:r>
          </w:p>
        </w:tc>
        <w:tc>
          <w:tcPr/>
          <w:p>
            <w:pPr>
              <w:pStyle w:val="Compact"/>
            </w:pPr>
            <w:r>
              <w:t xml:space="preserve">✅</w:t>
            </w:r>
          </w:p>
        </w:tc>
      </w:tr>
      <w:tr>
        <w:tc>
          <w:tcPr/>
          <w:p>
            <w:pPr>
              <w:pStyle w:val="Compact"/>
            </w:pPr>
            <w:r>
              <w:t xml:space="preserve">Microsoft Intune</w:t>
            </w:r>
          </w:p>
        </w:tc>
        <w:tc>
          <w:tcPr/>
          <w:p>
            <w:pPr>
              <w:pStyle w:val="Compact"/>
            </w:pPr>
            <w:r>
              <w:t xml:space="preserve">Cloud PKI (Book 10)</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w:t>
      </w:r>
    </w:p>
    <w:bookmarkEnd w:id="31"/>
    <w:bookmarkStart w:id="37" w:name="X06a0070e725c3c91b121dd7e9ccf9f9c3c201de"/>
    <w:p>
      <w:pPr>
        <w:pStyle w:val="Heading2"/>
      </w:pPr>
      <w:r>
        <w:t xml:space="preserve">Graph permissions for each machine identity</w:t>
      </w:r>
    </w:p>
    <w:p>
      <w:pPr>
        <w:pStyle w:val="FirstParagraph"/>
      </w:pPr>
      <w:r>
        <w:rPr>
          <w:b/>
          <w:bCs/>
        </w:rPr>
        <w:t xml:space="preserve">What is required.</w:t>
      </w:r>
      <w:r>
        <w:t xml:space="preserve"> </w:t>
      </w: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32"/>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34"/>
      </w:r>
    </w:p>
    <w:p>
      <w:pPr>
        <w:pStyle w:val="BodyText"/>
      </w:pPr>
      <w:r>
        <w:rPr>
          <w:b/>
          <w:bCs/>
        </w:rPr>
        <w:t xml:space="preserve">Least-privilege justification.</w:t>
      </w:r>
    </w:p>
    <w:p>
      <w:pPr>
        <w:pStyle w:val="Compact"/>
        <w:numPr>
          <w:ilvl w:val="0"/>
          <w:numId w:val="1001"/>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01"/>
        </w:numPr>
      </w:pPr>
      <w:r>
        <w:rPr>
          <w:rStyle w:val="VerbatimChar"/>
        </w:rPr>
        <w:t xml:space="preserve">GroupMember.Read.All</w:t>
      </w:r>
      <w:r>
        <w:t xml:space="preserve"> </w:t>
      </w:r>
      <w:r>
        <w:t xml:space="preserve">resolves group membership for type-X (group) logins, which is how Book 07 grants access.</w:t>
      </w:r>
    </w:p>
    <w:p>
      <w:pPr>
        <w:pStyle w:val="Compact"/>
        <w:numPr>
          <w:ilvl w:val="0"/>
          <w:numId w:val="1001"/>
        </w:numPr>
      </w:pPr>
      <w:r>
        <w:rPr>
          <w:rStyle w:val="VerbatimChar"/>
        </w:rPr>
        <w:t xml:space="preserve">Application.Read.All</w:t>
      </w:r>
      <w:r>
        <w:t xml:space="preserve"> </w:t>
      </w:r>
      <w:r>
        <w:t xml:space="preserve">resolves service principals and managed identities that connect as applications (Book 08).</w:t>
      </w:r>
    </w:p>
    <w:p>
      <w:pPr>
        <w:pStyle w:val="Compact"/>
        <w:numPr>
          <w:ilvl w:val="0"/>
          <w:numId w:val="1001"/>
        </w:numPr>
      </w:pPr>
      <w:r>
        <w:t xml:space="preserve">All three are read-only. None grants write access to the directory.</w:t>
      </w:r>
    </w:p>
    <w:p>
      <w:pPr>
        <w:pStyle w:val="FirstParagraph"/>
      </w:pPr>
      <w:r>
        <w:rPr>
          <w:b/>
          <w:bCs/>
        </w:rPr>
        <w:t xml:space="preserve">Why not Directory Readers.</w:t>
      </w:r>
      <w:r>
        <w:t xml:space="preserve"> </w:t>
      </w: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36"/>
      </w:r>
      <w:r>
        <w:t xml:space="preserve"> </w:t>
      </w:r>
      <w:r>
        <w:t xml:space="preserve">Grant the three app roles to each identity with a script, and review the grants with the rest of the access reviews.</w:t>
      </w:r>
    </w:p>
    <w:bookmarkEnd w:id="37"/>
    <w:bookmarkStart w:id="42" w:name="token-folder-and-bulk-permissions"/>
    <w:p>
      <w:pPr>
        <w:pStyle w:val="Heading2"/>
      </w:pPr>
      <w:r>
        <w:t xml:space="preserve">Token folder and BULK permissions</w:t>
      </w:r>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38"/>
      </w:r>
      <w:r>
        <w:t xml:space="preserve"> </w:t>
      </w:r>
      <w:r>
        <w:t xml:space="preserve">The mitigation:</w:t>
      </w:r>
    </w:p>
    <w:p>
      <w:pPr>
        <w:pStyle w:val="Compact"/>
        <w:numPr>
          <w:ilvl w:val="0"/>
          <w:numId w:val="1002"/>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02"/>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02"/>
        </w:numPr>
      </w:pPr>
      <w:r>
        <w:t xml:space="preserve">The agent’s local identity endpoint requires the caller to be in the local Administrators group or the Hybrid Agent Extension Applications group,</w:t>
      </w:r>
      <w:r>
        <w:rPr>
          <w:rStyle w:val="FootnoteReference"/>
        </w:rPr>
        <w:footnoteReference w:id="40"/>
      </w:r>
      <w:r>
        <w:t xml:space="preserve"> </w:t>
      </w:r>
      <w:r>
        <w:t xml:space="preserve">so manage those memberships as privileged.</w:t>
      </w:r>
    </w:p>
    <w:bookmarkEnd w:id="42"/>
    <w:bookmarkStart w:id="48" w:name="break-glass-design"/>
    <w:p>
      <w:pPr>
        <w:pStyle w:val="Heading2"/>
      </w:pPr>
      <w:r>
        <w:t xml:space="preserve">Break-glass design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 member of the computer’s local Administrators group can then connect as</w:t>
            </w:r>
            <w:r>
              <w:t xml:space="preserve"> </w:t>
            </w:r>
            <w:r>
              <w:rPr>
                <w:rStyle w:val="VerbatimChar"/>
              </w:rPr>
              <w:t xml:space="preserve">sysadmin</w:t>
            </w:r>
            <w:r>
              <w:t xml:space="preserve">.</w:t>
            </w:r>
            <w:r>
              <w:rPr>
                <w:rStyle w:val="FootnoteReference"/>
              </w:rPr>
              <w:footnoteReference w:id="43"/>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45"/>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47"/>
            </w:r>
            <w:r>
              <w:t xml:space="preserve"> </w:t>
            </w:r>
            <w:r>
              <w:t xml:space="preserve">Recover through the paths above instead.</w:t>
            </w:r>
          </w:p>
        </w:tc>
      </w:tr>
    </w:tbl>
    <w:bookmarkEnd w:id="48"/>
    <w:bookmarkStart w:id="69" w:name="licensing-bill-of-materials"/>
    <w:p>
      <w:pPr>
        <w:pStyle w:val="Heading2"/>
      </w:pPr>
      <w:r>
        <w:t xml:space="preserve">Licensing bill of materials</w:t>
      </w:r>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02–03</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49"/>
            </w:r>
          </w:p>
        </w:tc>
      </w:tr>
      <w:tr>
        <w:tc>
          <w:tcPr/>
          <w:p>
            <w:pPr>
              <w:pStyle w:val="Compact"/>
            </w:pPr>
            <w:r>
              <w:t xml:space="preserve">04–05</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w:t>
            </w:r>
            <w:r>
              <w:t xml:space="preserve">— no Software Assurance or pay-as-you-go needed</w:t>
            </w:r>
          </w:p>
        </w:tc>
        <w:tc>
          <w:tcPr/>
          <w:p>
            <w:pPr>
              <w:pStyle w:val="Compact"/>
            </w:pPr>
            <w:r>
              <w:rPr>
                <w:rStyle w:val="FootnoteReference"/>
              </w:rPr>
              <w:footnoteReference w:id="51"/>
            </w:r>
          </w:p>
        </w:tc>
      </w:tr>
      <w:tr>
        <w:tc>
          <w:tcPr/>
          <w:p>
            <w:pPr>
              <w:pStyle w:val="Compact"/>
            </w:pPr>
            <w:r>
              <w:t xml:space="preserve">04</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52"/>
            </w:r>
          </w:p>
        </w:tc>
      </w:tr>
      <w:tr>
        <w:tc>
          <w:tcPr/>
          <w:p>
            <w:pPr>
              <w:pStyle w:val="Compact"/>
            </w:pPr>
            <w:r>
              <w:t xml:space="preserve">05, 07, 09</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53"/>
            </w:r>
          </w:p>
        </w:tc>
      </w:tr>
      <w:tr>
        <w:tc>
          <w:tcPr/>
          <w:p>
            <w:pPr>
              <w:pStyle w:val="Compact"/>
            </w:pPr>
            <w:r>
              <w:t xml:space="preserve">07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55"/>
            </w:r>
          </w:p>
        </w:tc>
      </w:tr>
      <w:tr>
        <w:tc>
          <w:tcPr/>
          <w:p>
            <w:pPr>
              <w:pStyle w:val="Compact"/>
            </w:pPr>
            <w:r>
              <w:t xml:space="preserve">07</w:t>
            </w:r>
          </w:p>
        </w:tc>
        <w:tc>
          <w:tcPr/>
          <w:p>
            <w:pPr>
              <w:pStyle w:val="Compact"/>
            </w:pPr>
            <w:r>
              <w:t xml:space="preserve">PIM for Groups</w:t>
            </w:r>
          </w:p>
        </w:tc>
        <w:tc>
          <w:tcPr/>
          <w:p>
            <w:pPr>
              <w:pStyle w:val="Compact"/>
            </w:pPr>
            <w:r>
              <w:t xml:space="preserve">Microsoft Entra ID P2, ID Governance or Entra Suite</w:t>
            </w:r>
          </w:p>
        </w:tc>
        <w:tc>
          <w:tcPr/>
          <w:p>
            <w:pPr>
              <w:pStyle w:val="Compact"/>
            </w:pPr>
            <w:r>
              <w:rPr>
                <w:rStyle w:val="FootnoteReference"/>
              </w:rPr>
              <w:footnoteReference w:id="57"/>
            </w:r>
          </w:p>
        </w:tc>
      </w:tr>
      <w:tr>
        <w:tc>
          <w:tcPr/>
          <w:p>
            <w:pPr>
              <w:pStyle w:val="Compact"/>
            </w:pPr>
            <w:r>
              <w:t xml:space="preserve">07</w:t>
            </w:r>
          </w:p>
        </w:tc>
        <w:tc>
          <w:tcPr/>
          <w:p>
            <w:pPr>
              <w:pStyle w:val="Compact"/>
            </w:pPr>
            <w:r>
              <w:t xml:space="preserve">Access reviews</w:t>
            </w:r>
          </w:p>
        </w:tc>
        <w:tc>
          <w:tcPr/>
          <w:p>
            <w:pPr>
              <w:pStyle w:val="Compact"/>
            </w:pPr>
            <w:r>
              <w:t xml:space="preserve">Microsoft Entra ID Governance or Entra Suite</w:t>
            </w:r>
          </w:p>
        </w:tc>
        <w:tc>
          <w:tcPr/>
          <w:p>
            <w:pPr>
              <w:pStyle w:val="Compact"/>
            </w:pPr>
            <w:r>
              <w:rPr>
                <w:rStyle w:val="FootnoteReference"/>
              </w:rPr>
              <w:footnoteReference w:id="59"/>
            </w:r>
          </w:p>
        </w:tc>
      </w:tr>
      <w:tr>
        <w:tc>
          <w:tcPr/>
          <w:p>
            <w:pPr>
              <w:pStyle w:val="Compact"/>
            </w:pPr>
            <w:r>
              <w:t xml:space="preserve">09</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61"/>
            </w:r>
          </w:p>
        </w:tc>
      </w:tr>
      <w:tr>
        <w:tc>
          <w:tcPr/>
          <w:p>
            <w:pPr>
              <w:pStyle w:val="Compact"/>
            </w:pPr>
            <w:r>
              <w:t xml:space="preserve">09</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10</w:t>
            </w:r>
          </w:p>
        </w:tc>
        <w:tc>
          <w:tcPr/>
          <w:p>
            <w:pPr>
              <w:pStyle w:val="Compact"/>
            </w:pPr>
            <w:r>
              <w:t xml:space="preserve">Microsoft Cloud PKI</w:t>
            </w:r>
          </w:p>
        </w:tc>
        <w:tc>
          <w:tcPr/>
          <w:p>
            <w:pPr>
              <w:pStyle w:val="Compact"/>
            </w:pPr>
            <w:r>
              <w:t xml:space="preserve">Intune add-on, standalone or in the Intune Suite</w:t>
            </w:r>
          </w:p>
        </w:tc>
        <w:tc>
          <w:tcPr/>
          <w:p>
            <w:pPr>
              <w:pStyle w:val="Compact"/>
            </w:pPr>
            <w:r>
              <w:rPr>
                <w:rStyle w:val="FootnoteReference"/>
              </w:rPr>
              <w:footnoteReference w:id="63"/>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tip.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67">
              <w:r>
                <w:rPr>
                  <w:rStyle w:val="Hyperlink"/>
                </w:rPr>
                <w:t xml:space="preserve">← Previous: Appendix A — Requirements Mapping</w:t>
              </w:r>
            </w:hyperlink>
            <w:r>
              <w:t xml:space="preserve"> </w:t>
            </w:r>
            <w:r>
              <w:t xml:space="preserve">·</w:t>
            </w:r>
            <w:r>
              <w:t xml:space="preserve"> </w:t>
            </w:r>
            <w:hyperlink r:id="rId68">
              <w:r>
                <w:rPr>
                  <w:rStyle w:val="Hyperlink"/>
                </w:rPr>
                <w:t xml:space="preserve">Index</w:t>
              </w:r>
            </w:hyperlink>
          </w:p>
          <w:p/>
        </w:tc>
      </w:tr>
    </w:tbl>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Connected Machine agent network requirements</w:t>
        </w:r>
      </w:hyperlink>
      <w:r>
        <w:t xml:space="preserve">. Checked 19 October 2026.</w:t>
      </w:r>
    </w:p>
  </w:footnote>
  <w:footnote w:id="22">
    <w:p>
      <w:pPr>
        <w:pStyle w:val="FootnoteText"/>
      </w:pPr>
      <w:r>
        <w:rPr>
          <w:rStyle w:val="FootnoteReference"/>
        </w:rPr>
        <w:footnoteRef/>
      </w:r>
      <w:r>
        <w:t xml:space="preserve"> </w:t>
      </w:r>
      <w:r>
        <w:t xml:space="preserve">Microsoft Learn,</w:t>
      </w:r>
      <w:r>
        <w:t xml:space="preserve"> </w:t>
      </w:r>
      <w:hyperlink r:id="rId23">
        <w:r>
          <w:rPr>
            <w:rStyle w:val="Hyperlink"/>
          </w:rPr>
          <w:t xml:space="preserve">Use Azure Private Link to connect servers to Azure Arc by using a private endpoint</w:t>
        </w:r>
      </w:hyperlink>
      <w:r>
        <w:t xml:space="preserve">.</w:t>
      </w:r>
    </w:p>
  </w:footnote>
  <w:footnote w:id="25">
    <w:p>
      <w:pPr>
        <w:pStyle w:val="FootnoteText"/>
      </w:pPr>
      <w:r>
        <w:rPr>
          <w:rStyle w:val="FootnoteReference"/>
        </w:rPr>
        <w:footnoteRef/>
      </w:r>
      <w:r>
        <w:t xml:space="preserve"> </w:t>
      </w:r>
      <w:r>
        <w:t xml:space="preserve">Microsoft Learn,</w:t>
      </w:r>
      <w:r>
        <w:t xml:space="preserve"> </w:t>
      </w:r>
      <w:hyperlink r:id="rId21">
        <w:r>
          <w:rPr>
            <w:rStyle w:val="Hyperlink"/>
          </w:rPr>
          <w:t xml:space="preserve">Connected Machine agent network requirements</w:t>
        </w:r>
      </w:hyperlink>
      <w:r>
        <w:t xml:space="preserve">. Checked 19 October 2026.</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Prerequisites — SQL Server enabled by Azure Arc</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30">
        <w:r>
          <w:rPr>
            <w:rStyle w:val="Hyperlink"/>
          </w:rPr>
          <w:t xml:space="preserve">Azure and other Microsoft cloud services compliance scope</w:t>
        </w:r>
      </w:hyperlink>
      <w:r>
        <w:t xml:space="preserve">,</w:t>
      </w:r>
      <w:r>
        <w:t xml:space="preserve"> </w:t>
      </w:r>
      <w:r>
        <w:t xml:space="preserve">“Azure public services by audit scope”</w:t>
      </w:r>
      <w:r>
        <w:t xml:space="preserve">. Checked 19 October 2026.</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Set up Microsoft Entra authentication with app registration — SQL Server enabled by Azure Arc</w:t>
        </w:r>
      </w:hyperlink>
      <w:r>
        <w:t xml:space="preserve">.</w:t>
      </w:r>
    </w:p>
  </w:footnote>
  <w:footnote w:id="36">
    <w:p>
      <w:pPr>
        <w:pStyle w:val="FootnoteText"/>
      </w:pPr>
      <w:r>
        <w:rPr>
          <w:rStyle w:val="FootnoteReference"/>
        </w:rPr>
        <w:footnoteRef/>
      </w:r>
      <w:r>
        <w:t xml:space="preserve"> </w:t>
      </w:r>
      <w:r>
        <w:t xml:space="preserve">Microsoft Learn,</w:t>
      </w:r>
      <w:r>
        <w:t xml:space="preserve"> </w:t>
      </w:r>
      <w:hyperlink r:id="rId33">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Managed identity overview — SQL Server enabled by Azure Arc</w:t>
        </w:r>
      </w:hyperlink>
      <w:r>
        <w:t xml:space="preserve">, Limitations.</w:t>
      </w:r>
    </w:p>
  </w:footnote>
  <w:footnote w:id="40">
    <w:p>
      <w:pPr>
        <w:pStyle w:val="FootnoteText"/>
      </w:pPr>
      <w:r>
        <w:rPr>
          <w:rStyle w:val="FootnoteReference"/>
        </w:rPr>
        <w:footnoteRef/>
      </w:r>
      <w:r>
        <w:t xml:space="preserve"> </w:t>
      </w:r>
      <w:r>
        <w:t xml:space="preserve">Microsoft Learn,</w:t>
      </w:r>
      <w:r>
        <w:t xml:space="preserve"> </w:t>
      </w:r>
      <w:hyperlink r:id="rId41">
        <w:r>
          <w:rPr>
            <w:rStyle w:val="Hyperlink"/>
          </w:rPr>
          <w:t xml:space="preserve">Access Azure resources with managed identity on Azure Arc-enabled servers</w:t>
        </w:r>
      </w:hyperlink>
      <w:r>
        <w:t xml:space="preserve">.</w:t>
      </w:r>
    </w:p>
  </w:footnote>
  <w:footnote w:id="43">
    <w:p>
      <w:pPr>
        <w:pStyle w:val="FootnoteText"/>
      </w:pPr>
      <w:r>
        <w:rPr>
          <w:rStyle w:val="FootnoteReference"/>
        </w:rPr>
        <w:footnoteRef/>
      </w:r>
      <w:r>
        <w:t xml:space="preserve"> </w:t>
      </w:r>
      <w:r>
        <w:t xml:space="preserve">Microsoft Learn,</w:t>
      </w:r>
      <w:r>
        <w:t xml:space="preserve"> </w:t>
      </w:r>
      <w:hyperlink r:id="rId44">
        <w:r>
          <w:rPr>
            <w:rStyle w:val="Hyperlink"/>
          </w:rPr>
          <w:t xml:space="preserve">Connect to SQL Server when system administrators are locked out</w:t>
        </w:r>
      </w:hyperlink>
      <w:r>
        <w:t xml:space="preserve">.</w:t>
      </w:r>
    </w:p>
  </w:footnote>
  <w:footnote w:id="45">
    <w:p>
      <w:pPr>
        <w:pStyle w:val="FootnoteText"/>
      </w:pPr>
      <w:r>
        <w:rPr>
          <w:rStyle w:val="FootnoteReference"/>
        </w:rPr>
        <w:footnoteRef/>
      </w:r>
      <w:r>
        <w:t xml:space="preserve"> </w:t>
      </w:r>
      <w:r>
        <w:t xml:space="preserve">Microsoft Learn,</w:t>
      </w:r>
      <w:r>
        <w:t xml:space="preserve"> </w:t>
      </w:r>
      <w:hyperlink r:id="rId46">
        <w:r>
          <w:rPr>
            <w:rStyle w:val="Hyperlink"/>
          </w:rPr>
          <w:t xml:space="preserve">Manage emergency access admin accounts</w:t>
        </w:r>
      </w:hyperlink>
      <w:r>
        <w:t xml:space="preserve">.</w:t>
      </w:r>
    </w:p>
  </w:footnote>
  <w:footnote w:id="47">
    <w:p>
      <w:pPr>
        <w:pStyle w:val="FootnoteText"/>
      </w:pPr>
      <w:r>
        <w:rPr>
          <w:rStyle w:val="FootnoteReference"/>
        </w:rPr>
        <w:footnoteRef/>
      </w:r>
      <w:r>
        <w:t xml:space="preserve"> </w:t>
      </w:r>
      <w:r>
        <w:t xml:space="preserve">Microsoft Learn,</w:t>
      </w:r>
      <w:r>
        <w:t xml:space="preserve"> </w:t>
      </w:r>
      <w:hyperlink r:id="rId39">
        <w:r>
          <w:rPr>
            <w:rStyle w:val="Hyperlink"/>
          </w:rPr>
          <w:t xml:space="preserve">Managed identity overview — SQL Server enabled by Azure Arc</w:t>
        </w:r>
      </w:hyperlink>
      <w:r>
        <w:t xml:space="preserve">, Limitations.</w:t>
      </w:r>
    </w:p>
  </w:footnote>
  <w:footnote w:id="49">
    <w:p>
      <w:pPr>
        <w:pStyle w:val="FootnoteText"/>
      </w:pPr>
      <w:r>
        <w:rPr>
          <w:rStyle w:val="FootnoteReference"/>
        </w:rPr>
        <w:footnoteRef/>
      </w:r>
      <w:r>
        <w:t xml:space="preserve"> </w:t>
      </w:r>
      <w:r>
        <w:t xml:space="preserve">Microsoft Learn,</w:t>
      </w:r>
      <w:r>
        <w:t xml:space="preserve"> </w:t>
      </w:r>
      <w:hyperlink r:id="rId50">
        <w:r>
          <w:rPr>
            <w:rStyle w:val="Hyperlink"/>
          </w:rPr>
          <w:t xml:space="preserve">Overview — SQL Server enabled by Azure Arc</w:t>
        </w:r>
      </w:hyperlink>
      <w:r>
        <w:t xml:space="preserve">, feature availability by license type.</w:t>
      </w:r>
    </w:p>
  </w:footnote>
  <w:footnote w:id="51">
    <w:p>
      <w:pPr>
        <w:pStyle w:val="FootnoteText"/>
      </w:pPr>
      <w:r>
        <w:rPr>
          <w:rStyle w:val="FootnoteReference"/>
        </w:rPr>
        <w:footnoteRef/>
      </w:r>
      <w:r>
        <w:t xml:space="preserve"> </w:t>
      </w:r>
      <w:r>
        <w:t xml:space="preserve">Microsoft Learn,</w:t>
      </w:r>
      <w:r>
        <w:t xml:space="preserve"> </w:t>
      </w:r>
      <w:hyperlink r:id="rId50">
        <w:r>
          <w:rPr>
            <w:rStyle w:val="Hyperlink"/>
          </w:rPr>
          <w:t xml:space="preserve">Overview — SQL Server enabled by Azure Arc</w:t>
        </w:r>
      </w:hyperlink>
      <w:r>
        <w:t xml:space="preserve">, feature availability by license type.</w:t>
      </w:r>
    </w:p>
  </w:footnote>
  <w:footnote w:id="52">
    <w:p>
      <w:pPr>
        <w:pStyle w:val="FootnoteText"/>
      </w:pPr>
      <w:r>
        <w:rPr>
          <w:rStyle w:val="FootnoteReference"/>
        </w:rPr>
        <w:footnoteRef/>
      </w:r>
      <w:r>
        <w:t xml:space="preserve"> </w:t>
      </w:r>
      <w:r>
        <w:t xml:space="preserve">Microsoft Learn,</w:t>
      </w:r>
      <w:r>
        <w:t xml:space="preserve"> </w:t>
      </w:r>
      <w:hyperlink r:id="rId35">
        <w:r>
          <w:rPr>
            <w:rStyle w:val="Hyperlink"/>
          </w:rPr>
          <w:t xml:space="preserve">Set up Microsoft Entra authentication with app registration — SQL Server enabled by Azure Arc</w:t>
        </w:r>
      </w:hyperlink>
      <w:r>
        <w:t xml:space="preserve">.</w:t>
      </w:r>
    </w:p>
  </w:footnote>
  <w:footnote w:id="53">
    <w:p>
      <w:pPr>
        <w:pStyle w:val="FootnoteText"/>
      </w:pPr>
      <w:r>
        <w:rPr>
          <w:rStyle w:val="FootnoteReference"/>
        </w:rPr>
        <w:footnoteRef/>
      </w:r>
      <w:r>
        <w:t xml:space="preserve"> </w:t>
      </w:r>
      <w:r>
        <w:t xml:space="preserve">Microsoft Learn,</w:t>
      </w:r>
      <w:r>
        <w:t xml:space="preserve"> </w:t>
      </w:r>
      <w:hyperlink r:id="rId54">
        <w:r>
          <w:rPr>
            <w:rStyle w:val="Hyperlink"/>
          </w:rPr>
          <w:t xml:space="preserve">What is Conditional Access?</w:t>
        </w:r>
      </w:hyperlink>
      <w:r>
        <w:t xml:space="preserve">, License requirements.</w:t>
      </w:r>
    </w:p>
  </w:footnote>
  <w:footnote w:id="55">
    <w:p>
      <w:pPr>
        <w:pStyle w:val="FootnoteText"/>
      </w:pPr>
      <w:r>
        <w:rPr>
          <w:rStyle w:val="FootnoteReference"/>
        </w:rPr>
        <w:footnoteRef/>
      </w:r>
      <w:r>
        <w:t xml:space="preserve"> </w:t>
      </w:r>
      <w:r>
        <w:t xml:space="preserve">Microsoft Learn,</w:t>
      </w:r>
      <w:r>
        <w:t xml:space="preserve"> </w:t>
      </w:r>
      <w:hyperlink r:id="rId56">
        <w:r>
          <w:rPr>
            <w:rStyle w:val="Hyperlink"/>
          </w:rPr>
          <w:t xml:space="preserve">Manage rules for dynamic membership groups in Microsoft Entra ID</w:t>
        </w:r>
      </w:hyperlink>
      <w:r>
        <w:t xml:space="preserve">, License requirements.</w:t>
      </w:r>
    </w:p>
  </w:footnote>
  <w:footnote w:id="57">
    <w:p>
      <w:pPr>
        <w:pStyle w:val="FootnoteText"/>
      </w:pPr>
      <w:r>
        <w:rPr>
          <w:rStyle w:val="FootnoteReference"/>
        </w:rPr>
        <w:footnoteRef/>
      </w:r>
      <w:r>
        <w:t xml:space="preserve"> </w:t>
      </w:r>
      <w:r>
        <w:t xml:space="preserve">Microsoft Learn,</w:t>
      </w:r>
      <w:r>
        <w:t xml:space="preserve"> </w:t>
      </w:r>
      <w:hyperlink r:id="rId58">
        <w:r>
          <w:rPr>
            <w:rStyle w:val="Hyperlink"/>
          </w:rPr>
          <w:t xml:space="preserve">Microsoft Entra ID Governance licensing fundamentals</w:t>
        </w:r>
      </w:hyperlink>
      <w:r>
        <w:t xml:space="preserve">.</w:t>
      </w:r>
    </w:p>
  </w:footnote>
  <w:footnote w:id="59">
    <w:p>
      <w:pPr>
        <w:pStyle w:val="FootnoteText"/>
      </w:pPr>
      <w:r>
        <w:rPr>
          <w:rStyle w:val="FootnoteReference"/>
        </w:rPr>
        <w:footnoteRef/>
      </w:r>
      <w:r>
        <w:t xml:space="preserve"> </w:t>
      </w:r>
      <w:r>
        <w:t xml:space="preserve">Microsoft Learn,</w:t>
      </w:r>
      <w:r>
        <w:t xml:space="preserve"> </w:t>
      </w:r>
      <w:hyperlink r:id="rId60">
        <w:r>
          <w:rPr>
            <w:rStyle w:val="Hyperlink"/>
          </w:rPr>
          <w:t xml:space="preserve">What are access reviews?</w:t>
        </w:r>
      </w:hyperlink>
      <w:r>
        <w:t xml:space="preserve">, License requirements.</w:t>
      </w:r>
    </w:p>
  </w:footnote>
  <w:footnote w:id="61">
    <w:p>
      <w:pPr>
        <w:pStyle w:val="FootnoteText"/>
      </w:pPr>
      <w:r>
        <w:rPr>
          <w:rStyle w:val="FootnoteReference"/>
        </w:rPr>
        <w:footnoteRef/>
      </w:r>
      <w:r>
        <w:t xml:space="preserve"> </w:t>
      </w:r>
      <w:r>
        <w:t xml:space="preserve">Microsoft Learn,</w:t>
      </w:r>
      <w:r>
        <w:t xml:space="preserve"> </w:t>
      </w:r>
      <w:hyperlink r:id="rId62">
        <w:r>
          <w:rPr>
            <w:rStyle w:val="Hyperlink"/>
          </w:rPr>
          <w:t xml:space="preserve">Microsoft Defender for SQL servers on machines overview</w:t>
        </w:r>
      </w:hyperlink>
      <w:r>
        <w:t xml:space="preserve">.</w:t>
      </w:r>
    </w:p>
  </w:footnote>
  <w:footnote w:id="63">
    <w:p>
      <w:pPr>
        <w:pStyle w:val="FootnoteText"/>
      </w:pPr>
      <w:r>
        <w:rPr>
          <w:rStyle w:val="FootnoteReference"/>
        </w:rPr>
        <w:footnoteRef/>
      </w:r>
      <w:r>
        <w:t xml:space="preserve"> </w:t>
      </w:r>
      <w:r>
        <w:t xml:space="preserve">Microsoft Learn,</w:t>
      </w:r>
      <w:r>
        <w:t xml:space="preserve"> </w:t>
      </w:r>
      <w:hyperlink r:id="rId64">
        <w:r>
          <w:rPr>
            <w:rStyle w:val="Hyperlink"/>
          </w:rPr>
          <w:t xml:space="preserve">Microsoft Cloud PKI for Microsoft Intune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Appendix_B-bundle.docx" TargetMode="External" /><Relationship Type="http://schemas.openxmlformats.org/officeDocument/2006/relationships/hyperlink" Id="rId67" Target="Appendix_A_Requirements_Mapping.md" TargetMode="External" /><Relationship Type="http://schemas.openxmlformats.org/officeDocument/2006/relationships/hyperlink" Id="rId12" Target="Applicability.md" TargetMode="External" /><Relationship Type="http://schemas.openxmlformats.org/officeDocument/2006/relationships/hyperlink" Id="rId41" Target="https://learn.microsoft.com/en-us/azure/azure-arc/servers/managed-identity-authentication" TargetMode="External" /><Relationship Type="http://schemas.openxmlformats.org/officeDocument/2006/relationships/hyperlink" Id="rId21" Target="https://learn.microsoft.com/en-us/azure/azure-arc/servers/network-requirements" TargetMode="External" /><Relationship Type="http://schemas.openxmlformats.org/officeDocument/2006/relationships/hyperlink" Id="rId23" Target="https://learn.microsoft.com/en-us/azure/azure-arc/servers/private-link-security" TargetMode="External" /><Relationship Type="http://schemas.openxmlformats.org/officeDocument/2006/relationships/hyperlink" Id="rId30" Target="https://learn.microsoft.com/en-us/azure/azure-government/compliance/azure-services-in-fedramp-auditscope" TargetMode="External" /><Relationship Type="http://schemas.openxmlformats.org/officeDocument/2006/relationships/hyperlink" Id="rId62" Target="https://learn.microsoft.com/en-us/azure/defender-for-cloud/defender-for-sql-on-machines-overview" TargetMode="External" /><Relationship Type="http://schemas.openxmlformats.org/officeDocument/2006/relationships/hyperlink" Id="rId60" Target="https://learn.microsoft.com/en-us/entra/id-governance/access-reviews-overview" TargetMode="External" /><Relationship Type="http://schemas.openxmlformats.org/officeDocument/2006/relationships/hyperlink" Id="rId58" Target="https://learn.microsoft.com/en-us/entra/id-governance/licensing-fundamentals" TargetMode="External" /><Relationship Type="http://schemas.openxmlformats.org/officeDocument/2006/relationships/hyperlink" Id="rId54" Target="https://learn.microsoft.com/en-us/entra/identity/conditional-access/overview" TargetMode="External" /><Relationship Type="http://schemas.openxmlformats.org/officeDocument/2006/relationships/hyperlink" Id="rId46" Target="https://learn.microsoft.com/en-us/entra/identity/role-based-access-control/security-emergency-access" TargetMode="External" /><Relationship Type="http://schemas.openxmlformats.org/officeDocument/2006/relationships/hyperlink" Id="rId56" Target="https://learn.microsoft.com/en-us/entra/identity/users/groups-dynamic-membership" TargetMode="External" /><Relationship Type="http://schemas.openxmlformats.org/officeDocument/2006/relationships/hyperlink" Id="rId64" Target="https://learn.microsoft.com/en-us/intune/intune-service/protect/microsoft-cloud-pki-overview" TargetMode="External" /><Relationship Type="http://schemas.openxmlformats.org/officeDocument/2006/relationships/hyperlink" Id="rId44" Target="https://learn.microsoft.com/en-us/sql/database-engine/configure-windows/connect-to-sql-server-when-system-administrators-are-locked-out?view=sql-server-ver17" TargetMode="External" /><Relationship Type="http://schemas.openxmlformats.org/officeDocument/2006/relationships/hyperlink" Id="rId35" Target="https://learn.microsoft.com/en-us/sql/sql-server/azure-arc/entra-authentication-setup-tutorial?view=sql-server-ver17" TargetMode="External" /><Relationship Type="http://schemas.openxmlformats.org/officeDocument/2006/relationships/hyperlink" Id="rId39" Target="https://learn.microsoft.com/en-us/sql/sql-server/azure-arc/managed-identity?view=sql-server-ver17" TargetMode="External" /><Relationship Type="http://schemas.openxmlformats.org/officeDocument/2006/relationships/hyperlink" Id="rId33" Target="https://learn.microsoft.com/en-us/sql/sql-server/azure-arc/microsoft-entra-authentication-with-managed-identity?view=sql-server-ver17" TargetMode="External" /><Relationship Type="http://schemas.openxmlformats.org/officeDocument/2006/relationships/hyperlink" Id="rId50" Target="https://learn.microsoft.com/en-us/sql/sql-server/azure-arc/overview?view=sql-server-ver17" TargetMode="External" /><Relationship Type="http://schemas.openxmlformats.org/officeDocument/2006/relationships/hyperlink" Id="rId27" Target="https://learn.microsoft.com/en-us/sql/sql-server/azure-arc/prerequisites?view=sql-server-ver17" TargetMode="External" /><Relationship Type="http://schemas.openxmlformats.org/officeDocument/2006/relationships/hyperlink" Id="rId68" Target="index.md" TargetMode="External" /></Relationships>
</file>

<file path=word/_rels/footnotes.xml.rels><?xml version="1.0" encoding="UTF-8"?><Relationships xmlns="http://schemas.openxmlformats.org/package/2006/relationships"><Relationship Type="http://schemas.openxmlformats.org/officeDocument/2006/relationships/hyperlink" Id="rId16" Target="../../../downloads/Appendix_B-bundle.docx" TargetMode="External" /><Relationship Type="http://schemas.openxmlformats.org/officeDocument/2006/relationships/hyperlink" Id="rId67" Target="Appendix_A_Requirements_Mapping.md" TargetMode="External" /><Relationship Type="http://schemas.openxmlformats.org/officeDocument/2006/relationships/hyperlink" Id="rId12" Target="Applicability.md" TargetMode="External" /><Relationship Type="http://schemas.openxmlformats.org/officeDocument/2006/relationships/hyperlink" Id="rId41" Target="https://learn.microsoft.com/en-us/azure/azure-arc/servers/managed-identity-authentication" TargetMode="External" /><Relationship Type="http://schemas.openxmlformats.org/officeDocument/2006/relationships/hyperlink" Id="rId21" Target="https://learn.microsoft.com/en-us/azure/azure-arc/servers/network-requirements" TargetMode="External" /><Relationship Type="http://schemas.openxmlformats.org/officeDocument/2006/relationships/hyperlink" Id="rId23" Target="https://learn.microsoft.com/en-us/azure/azure-arc/servers/private-link-security" TargetMode="External" /><Relationship Type="http://schemas.openxmlformats.org/officeDocument/2006/relationships/hyperlink" Id="rId30" Target="https://learn.microsoft.com/en-us/azure/azure-government/compliance/azure-services-in-fedramp-auditscope" TargetMode="External" /><Relationship Type="http://schemas.openxmlformats.org/officeDocument/2006/relationships/hyperlink" Id="rId62" Target="https://learn.microsoft.com/en-us/azure/defender-for-cloud/defender-for-sql-on-machines-overview" TargetMode="External" /><Relationship Type="http://schemas.openxmlformats.org/officeDocument/2006/relationships/hyperlink" Id="rId60" Target="https://learn.microsoft.com/en-us/entra/id-governance/access-reviews-overview" TargetMode="External" /><Relationship Type="http://schemas.openxmlformats.org/officeDocument/2006/relationships/hyperlink" Id="rId58" Target="https://learn.microsoft.com/en-us/entra/id-governance/licensing-fundamentals" TargetMode="External" /><Relationship Type="http://schemas.openxmlformats.org/officeDocument/2006/relationships/hyperlink" Id="rId54" Target="https://learn.microsoft.com/en-us/entra/identity/conditional-access/overview" TargetMode="External" /><Relationship Type="http://schemas.openxmlformats.org/officeDocument/2006/relationships/hyperlink" Id="rId46" Target="https://learn.microsoft.com/en-us/entra/identity/role-based-access-control/security-emergency-access" TargetMode="External" /><Relationship Type="http://schemas.openxmlformats.org/officeDocument/2006/relationships/hyperlink" Id="rId56" Target="https://learn.microsoft.com/en-us/entra/identity/users/groups-dynamic-membership" TargetMode="External" /><Relationship Type="http://schemas.openxmlformats.org/officeDocument/2006/relationships/hyperlink" Id="rId64" Target="https://learn.microsoft.com/en-us/intune/intune-service/protect/microsoft-cloud-pki-overview" TargetMode="External" /><Relationship Type="http://schemas.openxmlformats.org/officeDocument/2006/relationships/hyperlink" Id="rId44" Target="https://learn.microsoft.com/en-us/sql/database-engine/configure-windows/connect-to-sql-server-when-system-administrators-are-locked-out?view=sql-server-ver17" TargetMode="External" /><Relationship Type="http://schemas.openxmlformats.org/officeDocument/2006/relationships/hyperlink" Id="rId35" Target="https://learn.microsoft.com/en-us/sql/sql-server/azure-arc/entra-authentication-setup-tutorial?view=sql-server-ver17" TargetMode="External" /><Relationship Type="http://schemas.openxmlformats.org/officeDocument/2006/relationships/hyperlink" Id="rId39" Target="https://learn.microsoft.com/en-us/sql/sql-server/azure-arc/managed-identity?view=sql-server-ver17" TargetMode="External" /><Relationship Type="http://schemas.openxmlformats.org/officeDocument/2006/relationships/hyperlink" Id="rId33" Target="https://learn.microsoft.com/en-us/sql/sql-server/azure-arc/microsoft-entra-authentication-with-managed-identity?view=sql-server-ver17" TargetMode="External" /><Relationship Type="http://schemas.openxmlformats.org/officeDocument/2006/relationships/hyperlink" Id="rId50" Target="https://learn.microsoft.com/en-us/sql/sql-server/azure-arc/overview?view=sql-server-ver17" TargetMode="External" /><Relationship Type="http://schemas.openxmlformats.org/officeDocument/2006/relationships/hyperlink" Id="rId27" Target="https://learn.microsoft.com/en-us/sql/sql-server/azure-arc/prerequisites?view=sql-server-ver17" TargetMode="External" /><Relationship Type="http://schemas.openxmlformats.org/officeDocument/2006/relationships/hyperlink" Id="rId6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Security-Approval (ATO) Kit</dc:title>
  <dc:creator/>
  <dc:description>Material a system owner and ISSO can adapt for the system security plan when SQL Server moves to Microsoft Entra authentication through Azure Arc. Every platform fact is sourced to Microsoft documentation and stamped as of 19 October 2026. It supports an authorization decision; it does not make one.</dc:description>
  <cp:keywords/>
  <dcterms:created xsi:type="dcterms:W3CDTF">2026-10-19T10:09:19Z</dcterms:created>
  <dcterms:modified xsi:type="dcterms:W3CDTF">2026-10-19T10:09:19Z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13</vt:lpwstr>
  </property>
  <property fmtid="{D5CDD505-2E9C-101B-9397-08002B2CF9AE}" pid="13" name="status">
    <vt:lpwstr>draft</vt:lpwstr>
  </property>
  <property fmtid="{D5CDD505-2E9C-101B-9397-08002B2CF9AE}" pid="14" name="subtitle">
    <vt:lpwstr>Boundary diagram, outbound endpoints, FedRAMP audit scope, Graph permission justification, token-folder mitigation, break-glass design and a licensing bill of materials</vt:lpwstr>
  </property>
  <property fmtid="{D5CDD505-2E9C-101B-9397-08002B2CF9AE}" pid="15" name="tiers_adopted">
    <vt:lpwstr/>
  </property>
  <property fmtid="{D5CDD505-2E9C-101B-9397-08002B2CF9AE}" pid="16" name="toc-title">
    <vt:lpwstr>Table of contents</vt:lpwstr>
  </property>
</Properties>
</file>