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Book_02 — The Estate Itself</w:t>
      </w:r>
    </w:p>
    <w:p>
      <w:pPr>
        <w:pStyle w:val="Subtitle"/>
      </w:pPr>
      <w:r>
        <w:t xml:space="preserve">Assessing and Consolidating Twenty Years of Forest Sprawl Before the Migration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2" w:name="book_02-the-estate-itself"/>
    <w:p>
      <w:pPr>
        <w:pStyle w:val="Heading1"/>
      </w:pPr>
      <w:r>
        <w:t xml:space="preserve">Book_02 — The Estate Itself</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do not migrate the estate in the shape you discover it. After twenty years across an Active Directory forest, the SQL Server estate is larger and more tangled than any team’s mental model of it — and a significant fraction of it should not survive the transformation at all. This book establishes the consolidation assessment that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p/>
        </w:tc>
      </w:tr>
    </w:tbl>
    <w:p>
      <w:pPr>
        <w:pStyle w:val="CaptionedFigure"/>
      </w:pPr>
      <w:r>
        <w:drawing>
          <wp:inline>
            <wp:extent cx="5334000" cy="1491531"/>
            <wp:effectExtent b="0" l="0" r="0" t="0"/>
            <wp:docPr descr="The estate is measured and reduced before any login moves." title="" id="13" name="Picture"/>
            <a:graphic>
              <a:graphicData uri="http://schemas.openxmlformats.org/drawingml/2006/picture">
                <pic:pic>
                  <pic:nvPicPr>
                    <pic:cNvPr descr="../../images/sql-server/diagrams/svg/book-02-assess-before-migrating.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491531"/>
                    </a:xfrm>
                    <a:prstGeom prst="rect">
                      <a:avLst/>
                    </a:prstGeom>
                    <a:noFill/>
                    <a:ln w="9525">
                      <a:noFill/>
                      <a:headEnd/>
                      <a:tailEnd/>
                    </a:ln>
                  </pic:spPr>
                </pic:pic>
              </a:graphicData>
            </a:graphic>
          </wp:inline>
        </w:drawing>
      </w:r>
    </w:p>
    <w:p>
      <w:pPr>
        <w:pStyle w:val="ImageCaption"/>
      </w:pPr>
      <w:r>
        <w:t xml:space="preserve">The estate is measured and reduced before any login moves.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opt/quarto/share/formats/docx/tip.png" id="17"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book</w:t>
            </w:r>
          </w:p>
        </w:tc>
      </w:tr>
      <w:tr>
        <w:trPr>
          <w:cantSplit/>
        </w:trPr>
        <w:tc>
          <w:tcPr>
            <w:tcMar>
              <w:top w:w="108" w:type="dxa"/>
              <w:bottom w:w="108" w:type="dxa"/>
            </w:tcMar>
          </w:tcPr>
          <w:p>
            <w:pPr>
              <w:pStyle w:val="BodyText"/>
            </w:pPr>
            <w:pPr>
              <w:spacing w:before="16" w:after="16"/>
            </w:pPr>
            <w:hyperlink r:id="rId18">
              <w:r>
                <w:rPr>
                  <w:rStyle w:val="Hyperlink"/>
                  <w:b/>
                  <w:bCs/>
                </w:rPr>
                <w:t xml:space="preserve">Book_02-bundle.docx</w:t>
              </w:r>
            </w:hyperlink>
            <w:r>
              <w:t xml:space="preserve"> </w:t>
            </w:r>
            <w:r>
              <w:t xml:space="preserve">— every chapter of this book concatenated into one Word document. Regenerated on every site deploy.</w:t>
            </w:r>
          </w:p>
          <w:p/>
        </w:tc>
      </w:tr>
    </w:tbl>
    <w:bookmarkStart w:id="21" w:name="chapters"/>
    <w:p>
      <w:pPr>
        <w:pStyle w:val="Heading2"/>
      </w:pPr>
      <w:r>
        <w:t xml:space="preserve">Chapters</w:t>
      </w:r>
    </w:p>
    <w:bookmarkStart w:id="19" w:name="book-chapters"/>
    <w:bookmarkEnd w:id="19"/>
    <w:p>
      <w:pPr>
        <w:pStyle w:val="FirstParagraph"/>
      </w:pPr>
      <w:r>
        <w:rPr>
          <w:b/>
          <w:bCs/>
        </w:rPr>
        <w:t xml:space="preserve">Place in the</w:t>
      </w:r>
      <w:r>
        <w:rPr>
          <w:b/>
          <w:bCs/>
        </w:rPr>
        <w:t xml:space="preserve"> </w:t>
      </w:r>
      <w:hyperlink r:id="rId20">
        <w:r>
          <w:rPr>
            <w:rStyle w:val="Hyperlink"/>
            <w:b/>
            <w:bCs/>
          </w:rPr>
          <w:t xml:space="preserve">dependency chain</w:t>
        </w:r>
      </w:hyperlink>
      <w:r>
        <w:rPr>
          <w:b/>
          <w:bCs/>
        </w:rPr>
        <w:t xml:space="preserve">:</w:t>
      </w:r>
      <w:r>
        <w:t xml:space="preserve"> </w:t>
      </w:r>
      <w:r>
        <w:t xml:space="preserve">Steps 1–2 — Inventory and Rationalize.</w:t>
      </w:r>
    </w:p>
    <w:bookmarkEnd w:id="21"/>
    <w:bookmarkStart w:id="31"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22">
        <w:r>
          <w:rPr>
            <w:rStyle w:val="Hyperlink"/>
          </w:rPr>
          <w:t xml:space="preserve">End of support options — SQL Server</w:t>
        </w:r>
      </w:hyperlink>
    </w:p>
    <w:p>
      <w:pPr>
        <w:pStyle w:val="Compact"/>
        <w:numPr>
          <w:ilvl w:val="0"/>
          <w:numId w:val="1001"/>
        </w:numPr>
      </w:pPr>
      <w:hyperlink r:id="rId23">
        <w:r>
          <w:rPr>
            <w:rStyle w:val="Hyperlink"/>
          </w:rPr>
          <w:t xml:space="preserve">SQL Server enabled by Azure Arc — overview</w:t>
        </w:r>
      </w:hyperlink>
    </w:p>
    <w:p>
      <w:pPr>
        <w:pStyle w:val="Compact"/>
        <w:numPr>
          <w:ilvl w:val="0"/>
          <w:numId w:val="1001"/>
        </w:numPr>
      </w:pPr>
      <w:hyperlink r:id="rId24">
        <w:r>
          <w:rPr>
            <w:rStyle w:val="Hyperlink"/>
          </w:rPr>
          <w:t xml:space="preserve">Migrate SQL Server Windows users and groups to SQL Managed Instance using T-SQL</w:t>
        </w:r>
      </w:hyperlink>
    </w:p>
    <w:p>
      <w:pPr>
        <w:pStyle w:val="Compact"/>
        <w:numPr>
          <w:ilvl w:val="0"/>
          <w:numId w:val="1001"/>
        </w:numPr>
      </w:pPr>
      <w:hyperlink r:id="rId25">
        <w:r>
          <w:rPr>
            <w:rStyle w:val="Hyperlink"/>
          </w:rPr>
          <w:t xml:space="preserve">Microsoft Entra cloud-first identity guidance</w:t>
        </w:r>
      </w:hyperlink>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tip.png" id="27"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8">
              <w:r>
                <w:rPr>
                  <w:rStyle w:val="Hyperlink"/>
                </w:rPr>
                <w:t xml:space="preserve">← Previous: Book 01 — The Authentication Inheritance Problem</w:t>
              </w:r>
            </w:hyperlink>
            <w:r>
              <w:t xml:space="preserve"> </w:t>
            </w:r>
            <w:r>
              <w:t xml:space="preserve">·</w:t>
            </w:r>
            <w:r>
              <w:t xml:space="preserve"> </w:t>
            </w:r>
            <w:hyperlink r:id="rId29">
              <w:r>
                <w:rPr>
                  <w:rStyle w:val="Hyperlink"/>
                </w:rPr>
                <w:t xml:space="preserve">Index</w:t>
              </w:r>
            </w:hyperlink>
            <w:r>
              <w:t xml:space="preserve"> </w:t>
            </w:r>
            <w:r>
              <w:t xml:space="preserve">·</w:t>
            </w:r>
            <w:r>
              <w:t xml:space="preserve"> </w:t>
            </w:r>
            <w:hyperlink r:id="rId30">
              <w:r>
                <w:rPr>
                  <w:rStyle w:val="Hyperlink"/>
                </w:rPr>
                <w:t xml:space="preserve">Next: Book 03 — Discovery →</w:t>
              </w:r>
            </w:hyperlink>
          </w:p>
          <w:p/>
        </w:tc>
      </w:tr>
    </w:tbl>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15" Target="media/rId15.png" /><Relationship Type="http://schemas.openxmlformats.org/officeDocument/2006/relationships/hyperlink" Id="rId18" Target="../../../downloads/Book_02-bundle.docx" TargetMode="External" /><Relationship Type="http://schemas.openxmlformats.org/officeDocument/2006/relationships/hyperlink" Id="rId28" Target="Book_01.md" TargetMode="External" /><Relationship Type="http://schemas.openxmlformats.org/officeDocument/2006/relationships/hyperlink" Id="rId30" Target="Book_03.md" TargetMode="External" /><Relationship Type="http://schemas.openxmlformats.org/officeDocument/2006/relationships/hyperlink" Id="rId24" Target="https://learn.microsoft.com/en-us/azure/azure-sql/managed-instance/migrate-sql-server-users-to-instance-transact-sql-tsql-tutorial?view=azuresql" TargetMode="External" /><Relationship Type="http://schemas.openxmlformats.org/officeDocument/2006/relationships/hyperlink" Id="rId25" Target="https://learn.microsoft.com/en-us/entra/identity/hybrid/guidance-it-architects-source-of-authority" TargetMode="External" /><Relationship Type="http://schemas.openxmlformats.org/officeDocument/2006/relationships/hyperlink" Id="rId23" Target="https://learn.microsoft.com/en-us/sql/sql-server/azure-arc/overview?view=sql-server-ver17" TargetMode="External" /><Relationship Type="http://schemas.openxmlformats.org/officeDocument/2006/relationships/hyperlink" Id="rId22" Target="https://learn.microsoft.com/en-us/sql/sql-server/end-of-support/sql-server-end-of-support-overview?view=sql-server-ver17" TargetMode="External" /><Relationship Type="http://schemas.openxmlformats.org/officeDocument/2006/relationships/hyperlink" Id="rId29" Target="index.md" TargetMode="External" /><Relationship Type="http://schemas.openxmlformats.org/officeDocument/2006/relationships/hyperlink" Id="rId20" Target="series-overview.md#the-dependency-chain" TargetMode="External" /></Relationships>
</file>

<file path=word/_rels/footnotes.xml.rels><?xml version="1.0" encoding="UTF-8"?><Relationships xmlns="http://schemas.openxmlformats.org/package/2006/relationships"><Relationship Type="http://schemas.openxmlformats.org/officeDocument/2006/relationships/hyperlink" Id="rId18" Target="../../../downloads/Book_02-bundle.docx" TargetMode="External" /><Relationship Type="http://schemas.openxmlformats.org/officeDocument/2006/relationships/hyperlink" Id="rId28" Target="Book_01.md" TargetMode="External" /><Relationship Type="http://schemas.openxmlformats.org/officeDocument/2006/relationships/hyperlink" Id="rId30" Target="Book_03.md" TargetMode="External" /><Relationship Type="http://schemas.openxmlformats.org/officeDocument/2006/relationships/hyperlink" Id="rId24" Target="https://learn.microsoft.com/en-us/azure/azure-sql/managed-instance/migrate-sql-server-users-to-instance-transact-sql-tsql-tutorial?view=azuresql" TargetMode="External" /><Relationship Type="http://schemas.openxmlformats.org/officeDocument/2006/relationships/hyperlink" Id="rId25" Target="https://learn.microsoft.com/en-us/entra/identity/hybrid/guidance-it-architects-source-of-authority" TargetMode="External" /><Relationship Type="http://schemas.openxmlformats.org/officeDocument/2006/relationships/hyperlink" Id="rId23" Target="https://learn.microsoft.com/en-us/sql/sql-server/azure-arc/overview?view=sql-server-ver17" TargetMode="External" /><Relationship Type="http://schemas.openxmlformats.org/officeDocument/2006/relationships/hyperlink" Id="rId22" Target="https://learn.microsoft.com/en-us/sql/sql-server/end-of-support/sql-server-end-of-support-overview?view=sql-server-ver17" TargetMode="External" /><Relationship Type="http://schemas.openxmlformats.org/officeDocument/2006/relationships/hyperlink" Id="rId29" Target="index.md" TargetMode="External" /><Relationship Type="http://schemas.openxmlformats.org/officeDocument/2006/relationships/hyperlink" Id="rId20" Target="series-overview.md#the-dependency-cha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Book_02 — The Estate Itself</dc:title>
  <dc:creator/>
  <dc:description>The precondition most authentication narratives skip: you cannot migrate the authentication of an estate you have not first assessed and consolidated. Describes the shape of a twenty-year SQL Server estate across an AD forest, the full-estate inventory, utilization and zombie-database detection, version and EOL posture, dependency mapping, and the retain / consolidate / retire decision that gates every later book.</dc:description>
  <cp:keywords/>
  <dcterms:created xsi:type="dcterms:W3CDTF">2026-10-19T10:09:21Z</dcterms:created>
  <dcterms:modified xsi:type="dcterms:W3CDTF">2026-10-19T10:09:21Z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sql-server-narrative-book</vt:lpwstr>
  </property>
  <property fmtid="{D5CDD505-2E9C-101B-9397-08002B2CF9AE}" pid="5" name="family">
    <vt:lpwstr>sql-server-narrative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listing">
    <vt:lpwstr/>
  </property>
  <property fmtid="{D5CDD505-2E9C-101B-9397-08002B2CF9AE}" pid="13" name="series-order">
    <vt:lpwstr>2</vt:lpwstr>
  </property>
  <property fmtid="{D5CDD505-2E9C-101B-9397-08002B2CF9AE}" pid="14" name="status">
    <vt:lpwstr>draft</vt:lpwstr>
  </property>
  <property fmtid="{D5CDD505-2E9C-101B-9397-08002B2CF9AE}" pid="15" name="subtitle">
    <vt:lpwstr>Assessing and Consolidating Twenty Years of Forest Sprawl Before the Migration</vt:lpwstr>
  </property>
  <property fmtid="{D5CDD505-2E9C-101B-9397-08002B2CF9AE}" pid="16" name="tiers_adopted">
    <vt:lpwstr/>
  </property>
  <property fmtid="{D5CDD505-2E9C-101B-9397-08002B2CF9AE}" pid="17" name="toc-title">
    <vt:lpwstr>Table of contents</vt:lpwstr>
  </property>
</Properties>
</file>