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Shape of Twenty Years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0" w:name="chapter-1-the-shape-of-twenty-years"/>
    <w:p>
      <w:pPr>
        <w:pStyle w:val="Heading1"/>
      </w:pPr>
      <w:r>
        <w:t xml:space="preserve">Chapter 1 — The Shape of Twenty Years</w:t>
      </w:r>
    </w:p>
    <w:p>
      <w:pPr>
        <w:pStyle w:val="FirstParagraph"/>
      </w:pPr>
      <w:r>
        <w:rPr>
          <w:i/>
          <w:iCs/>
        </w:rPr>
        <w:t xml:space="preserve">Why the estate you must transform is not the estate anyone remembers building.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forms of sprawl that accumulate in a SQL Server estate over two decades across an Active Directory forest — instance sprawl, database sprawl, and forest entanglement — and why an authentication transformation that begins before this sprawl is assessed will migrate the authentication of servers that should not survive the transformation at all.</w:t>
            </w:r>
          </w:p>
          <w:p/>
        </w:tc>
      </w:tr>
    </w:tbl>
    <w:p>
      <w:pPr>
        <w:pStyle w:val="CaptionedFigure"/>
      </w:pPr>
      <w:r>
        <w:drawing>
          <wp:inline>
            <wp:extent cx="5334000" cy="2449961"/>
            <wp:effectExtent b="0" l="0" r="0" t="0"/>
            <wp:docPr descr="Instance sprawl, database sprawl and forest entanglement overlap, and together they set the scope of the transformation." title="" id="13" name="Picture"/>
            <a:graphic>
              <a:graphicData uri="http://schemas.openxmlformats.org/drawingml/2006/picture">
                <pic:pic>
                  <pic:nvPicPr>
                    <pic:cNvPr descr="../../images/sql-server/diagrams/svg/book-02-ch01-three-forms-of-sprawl.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449961"/>
                    </a:xfrm>
                    <a:prstGeom prst="rect">
                      <a:avLst/>
                    </a:prstGeom>
                    <a:noFill/>
                    <a:ln w="9525">
                      <a:noFill/>
                      <a:headEnd/>
                      <a:tailEnd/>
                    </a:ln>
                  </pic:spPr>
                </pic:pic>
              </a:graphicData>
            </a:graphic>
          </wp:inline>
        </w:drawing>
      </w:r>
    </w:p>
    <w:p>
      <w:pPr>
        <w:pStyle w:val="ImageCaption"/>
      </w:pPr>
      <w:r>
        <w:t xml:space="preserve">Instance sprawl, database sprawl and forest entanglement overlap, and together they set the scope of the transformation.</w:t>
      </w:r>
    </w:p>
    <w:p>
      <w:pPr>
        <w:pStyle w:val="BodyText"/>
      </w:pPr>
      <w:r>
        <w:t xml:space="preserve">The previous book named the inheritance and the three drivers that require ending it. This book confronts a precondition that most authentication narratives skip entirely: you cannot migrate the authentication of an estate you have not first measured and rationalized. After twenty years across an Active Directory forest, the SQL Server estate is larger, older, and more entangled than any single team’s mental model of it — and a meaningful fraction of it should not survive the transformation in its current shape.</w:t>
      </w:r>
    </w:p>
    <w:p>
      <w:pPr>
        <w:pStyle w:val="BodyText"/>
      </w:pPr>
      <w:r>
        <w:t xml:space="preserve">The order matters because effort is finite and the 2027-04-01 deadline is fixed. Migrating the logins of an instance to Entra ID, only to retire that instance three months later, is wasted work measured against a deadline that does not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bookmarkStart w:id="15" w:name="instance-sprawl"/>
    <w:p>
      <w:pPr>
        <w:pStyle w:val="Heading2"/>
      </w:pPr>
      <w:r>
        <w:t xml:space="preserve">Instance Sprawl</w:t>
      </w:r>
    </w:p>
    <w:p>
      <w:pPr>
        <w:pStyle w:val="FirstParagraph"/>
      </w:pPr>
      <w:r>
        <w:t xml:space="preserve">A SQL Server estate does not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every SQL Server version released across two decades — 2008, 2012, 2014, 2016, 2017, 2019, and 2022 — in every edition, from Express on a workstation to Enterprise on a clustered host. Several of those versions are out of support and receive no security updates. The licensing posture is equally heterogeneous: a mix of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 and especially the count of</w:t>
      </w:r>
      <w:r>
        <w:t xml:space="preserve"> </w:t>
      </w:r>
      <w:r>
        <w:rPr>
          <w:i/>
          <w:iCs/>
        </w:rPr>
        <w:t xml:space="preserve">unknown</w:t>
      </w:r>
      <w:r>
        <w:t xml:space="preserve"> </w:t>
      </w:r>
      <w:r>
        <w:t xml:space="preserve">instances — determines the true scope of the transformation. In an illustrative example, an estate that the DBA team believes contains forty instances and the discovery sweep reveals to contain a hundred and ten is not forty instances behind schedule; it is operating on a scope estimate that is wrong by a factor of nearly three.</w:t>
      </w:r>
    </w:p>
    <w:bookmarkEnd w:id="15"/>
    <w:bookmarkStart w:id="16" w:name="database-sprawl"/>
    <w:p>
      <w:pPr>
        <w:pStyle w:val="Heading2"/>
      </w:pPr>
      <w:r>
        <w:t xml:space="preserve">Database Sprawl</w:t>
      </w:r>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w:t>
      </w:r>
      <w:r>
        <w:t xml:space="preserve">— they have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 not to migrate faster — it is to retire the databases and instances that should not be migrated at all.</w:t>
      </w:r>
    </w:p>
    <w:p>
      <w:pPr>
        <w:pStyle w:val="BodyText"/>
      </w:pPr>
      <w:r>
        <w:t xml:space="preserve">Zombie detection is therefore not a housekeeping nicety; it is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16"/>
    <w:bookmarkStart w:id="19" w:name="forest-entanglement"/>
    <w:p>
      <w:pPr>
        <w:pStyle w:val="Heading2"/>
      </w:pPr>
      <w:r>
        <w:t xml:space="preserve">Forest Entanglement</w:t>
      </w:r>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ceases to be the authoritative identity source, every cross-domain login, every SPN registered in a domain that is being collapsed, and every shared service account becomes a dependency that must be resolved —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Books 03 through 10.</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note.png" id="1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02 establishes — Chapter 1</w:t>
            </w:r>
          </w:p>
        </w:tc>
      </w:tr>
      <w:tr>
        <w:trPr>
          <w:cantSplit/>
        </w:trPr>
        <w:tc>
          <w:tcPr>
            <w:tcMar>
              <w:top w:w="108" w:type="dxa"/>
              <w:bottom w:w="108" w:type="dxa"/>
            </w:tcMar>
          </w:tcPr>
          <w:p>
            <w:pPr>
              <w:pStyle w:val="Compact"/>
              <w:numPr>
                <w:ilvl w:val="0"/>
                <w:numId w:val="1001"/>
              </w:numPr>
            </w:pPr>
            <w:r>
              <w:t xml:space="preserve">A twenty-year estate has three overlapping forms of sprawl: instances, databases, and forest entanglement.</w:t>
            </w:r>
          </w:p>
          <w:p>
            <w:pPr>
              <w:pStyle w:val="Compact"/>
              <w:numPr>
                <w:ilvl w:val="0"/>
                <w:numId w:val="1001"/>
              </w:numPr>
            </w:pPr>
            <w:r>
              <w:t xml:space="preserve">Sprawl inflates the migration surface, because much of the estate should be retired or consolidated rather than migrated.</w:t>
            </w:r>
          </w:p>
          <w:p>
            <w:pPr>
              <w:pStyle w:val="Compact"/>
              <w:numPr>
                <w:ilvl w:val="0"/>
                <w:numId w:val="1001"/>
              </w:numPr>
            </w:pPr>
            <w:r>
              <w:t xml:space="preserve">The authentication transformation doesn’t begin until the sprawl is assessed.</w:t>
            </w:r>
          </w:p>
          <w:p/>
        </w:tc>
      </w:tr>
    </w:tbl>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Shape of Twenty Years</dc:title>
  <dc:creator/>
  <cp:keywords/>
  <dcterms:created xsi:type="dcterms:W3CDTF">2026-10-19T10:09:22Z</dcterms:created>
  <dcterms:modified xsi:type="dcterms:W3CDTF">2026-10-19T10:09:22Z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02</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