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Rationalization: Utilization, Versions, and Dependencies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5" w:name="Xfd96dcec85547b3d86fbf3a49783d0f0626d64f"/>
    <w:p>
      <w:pPr>
        <w:pStyle w:val="Heading1"/>
      </w:pPr>
      <w:r>
        <w:t xml:space="preserve">Chapter 3 — Rationalization: Utilization, Versions, and Dependencies</w:t>
      </w:r>
    </w:p>
    <w:p>
      <w:pPr>
        <w:pStyle w:val="FirstParagraph"/>
      </w:pPr>
      <w:r>
        <w:rPr>
          <w:i/>
          <w:iCs/>
        </w:rPr>
        <w:t xml:space="preserve">Turning a complete inventory into a defensible judgment about what each instance is worth.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analytical lenses that convert a raw inventory into a rationalization judgment — utilization and zombie detection, version and end-of-life posture, and dependency mapping — and why the dependency map in particular determines which instances can be consolidated and which are load-bearing in ways that are invisible until they are mapped.</w:t>
            </w:r>
          </w:p>
          <w:p/>
        </w:tc>
      </w:tr>
    </w:tbl>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 Chapter 4 formalizes.</w:t>
      </w:r>
    </w:p>
    <w:bookmarkStart w:id="12" w:name="utilization-and-zombie-detection"/>
    <w:p>
      <w:pPr>
        <w:pStyle w:val="Heading2"/>
      </w:pPr>
      <w:r>
        <w:t xml:space="preserve">Utilization and Zombie Detection</w:t>
      </w:r>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 read-heavy reporting, transactional, batch, or idle. For each database, it captures the last-access timestamp, the recent query workload, and the backup-restore history.</w:t>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 including long-forgotten SQL Authentication service accounts with still-valid passwords —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 not a retain candidate at its current size; it is a consolidation source whose workload belongs on a shared modern target, freeing the license and the host.</w:t>
      </w:r>
    </w:p>
    <w:bookmarkEnd w:id="12"/>
    <w:bookmarkStart w:id="15" w:name="version-and-end-of-life-posture"/>
    <w:p>
      <w:pPr>
        <w:pStyle w:val="Heading2"/>
      </w:pPr>
      <w:r>
        <w:t xml:space="preserve">Version and End-of-Life Posture</w:t>
      </w:r>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entire transformation depends upon requires SQL Server 2022.</w:t>
      </w:r>
      <w:r>
        <w:rPr>
          <w:rStyle w:val="FootnoteReference"/>
        </w:rPr>
        <w:footnoteReference w:id="13"/>
      </w:r>
      <w:r>
        <w:t xml:space="preserve"> </w:t>
      </w:r>
      <w:r>
        <w:t xml:space="preserve">An instance on any earlier version — 2019, 2017, 2016, or the out-of-support 2012 and 2008 — cannot accept Entra ID logins regardless of any other change, a constraint Book 03 formalizes as the Category 3 classification.</w:t>
      </w:r>
    </w:p>
    <w:p>
      <w:pPr>
        <w:pStyle w:val="BodyText"/>
      </w:pPr>
      <w:r>
        <w:t xml:space="preserve">This makes version posture a primary input to the consolidation decision rather than a secondary one. An out-of-support instance on SQL Server 2012 is simultaneously a security-update liability, a licensing question, and an instance that cannot be migrated to Entra ID authentication without an engine upgrade. For most such instances, the right answer is not</w:t>
      </w:r>
      <w:r>
        <w:t xml:space="preserve"> </w:t>
      </w:r>
      <w:r>
        <w:t xml:space="preserve">“upgrade in place to 2022 and then migrate”</w:t>
      </w:r>
      <w:r>
        <w:t xml:space="preserve"> </w:t>
      </w:r>
      <w:r>
        <w:t xml:space="preserve">— it is</w:t>
      </w:r>
      <w:r>
        <w:t xml:space="preserve"> </w:t>
      </w:r>
      <w:r>
        <w:t xml:space="preserve">“consolidate the surviving workload onto a modern target and retire the old engine.”</w:t>
      </w:r>
      <w:r>
        <w:t xml:space="preserve"> </w:t>
      </w:r>
      <w:r>
        <w:t xml:space="preserve">The version lens and the utilization lens converge on the same conclusion for the bulk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the core-license consumption, and an estate that can state its true core count before consolidation can quantify the licensing dividend that consolidation produces.</w:t>
      </w:r>
    </w:p>
    <w:bookmarkEnd w:id="15"/>
    <w:bookmarkStart w:id="16" w:name="dependency-mapping"/>
    <w:p>
      <w:pPr>
        <w:pStyle w:val="Heading2"/>
      </w:pPr>
      <w:r>
        <w:t xml:space="preserve">Dependency Mapping</w:t>
      </w:r>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w:t>
      </w:r>
      <w:r>
        <w:rPr>
          <w:rStyle w:val="VerbatimChar"/>
        </w:rPr>
        <w:t xml:space="preserve">sys.servers</w:t>
      </w:r>
      <w:r>
        <w:t xml:space="preserve">,</w:t>
      </w:r>
      <w:r>
        <w:t xml:space="preserve"> </w:t>
      </w:r>
      <w:r>
        <w:rPr>
          <w:rStyle w:val="VerbatimChar"/>
        </w:rPr>
        <w:t xml:space="preserve">sys.linked_logins</w:t>
      </w:r>
      <w:r>
        <w:t xml:space="preserve">) reveal the cross-instance — and frequently cross-domain — web that forest entanglement produced. Application-to-database mapping, drawn from connection telemetry and the application portfolio, reveals which databases are load-bearing for which systems. The SQL Server Agent job inventory, the replication configuration, and the SSIS/SSRS/SSAS footprint reveal the integration surface that a consolidation must preserve. Azure Migrate’s dependency analysis and the Data Migration Assistant’s compatibility findings supplement the in-engine views with workload-level dependency and feature-blocker data.</w:t>
      </w:r>
    </w:p>
    <w:p>
      <w:pPr>
        <w:pStyle w:val="BodyText"/>
      </w:pPr>
      <w:r>
        <w:t xml:space="preserve">The dependency map is also the bridge to Book 08. The upstream applications that consume SQL Server — many of them LDAP-bound — are precisely the systems whose dependencies the map records, and the application-chain migration of Book 08 acts on the same relationships the rationalization lens surfaces here. An instance cannot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16"/>
    <w:bookmarkStart w:id="24" w:name="the-combined-picture"/>
    <w:p>
      <w:pPr>
        <w:pStyle w:val="Heading2"/>
      </w:pPr>
      <w:r>
        <w:t xml:space="preserve">The Combined Picture</w:t>
      </w:r>
    </w:p>
    <w:p>
      <w:pPr>
        <w:pStyle w:val="CaptionedFigure"/>
      </w:pPr>
      <w:r>
        <w:drawing>
          <wp:inline>
            <wp:extent cx="5334000" cy="3303783"/>
            <wp:effectExtent b="0" l="0" r="0" t="0"/>
            <wp:docPr descr="Utilization, version posture and dependencies, applied together, produce a defensible judgment per instance and per database." title="" id="18" name="Picture"/>
            <a:graphic>
              <a:graphicData uri="http://schemas.openxmlformats.org/drawingml/2006/picture">
                <pic:pic>
                  <pic:nvPicPr>
                    <pic:cNvPr descr="../../images/sql-server/diagrams/svg/book-02-ch03-rationalization-lenses.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3303783"/>
                    </a:xfrm>
                    <a:prstGeom prst="rect">
                      <a:avLst/>
                    </a:prstGeom>
                    <a:noFill/>
                    <a:ln w="9525">
                      <a:noFill/>
                      <a:headEnd/>
                      <a:tailEnd/>
                    </a:ln>
                  </pic:spPr>
                </pic:pic>
              </a:graphicData>
            </a:graphic>
          </wp:inline>
        </w:drawing>
      </w:r>
    </w:p>
    <w:p>
      <w:pPr>
        <w:pStyle w:val="ImageCaption"/>
      </w:pPr>
      <w:r>
        <w:t xml:space="preserve">Utilization, version posture and dependencies, applied together, produce a defensible judgment per instance and per database.</w:t>
      </w:r>
    </w:p>
    <w:p>
      <w:pPr>
        <w:pStyle w:val="BodyText"/>
      </w:pPr>
      <w:r>
        <w:t xml:space="preserve">No single lens produces the rationalization decision. An instance that is lightly utilized but load-bearing for a quarterly process is not a retirement candidate. An out-of-support instance with heavy utilization is an urgent consolidation target, not a leave-alone. A zombie database on an otherwise healthy instance is a local retirement that shrinks the migration surface without touching the host. The three lenses together produce, for each instance and each database, a defensible judgment — and that judgment is the input to the decision Chapter 4 records.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02 establishes — Chapter 3</w:t>
            </w:r>
          </w:p>
        </w:tc>
      </w:tr>
      <w:tr>
        <w:trPr>
          <w:cantSplit/>
        </w:trPr>
        <w:tc>
          <w:tcPr>
            <w:tcMar>
              <w:top w:w="108" w:type="dxa"/>
              <w:bottom w:w="108" w:type="dxa"/>
            </w:tcMar>
          </w:tcPr>
          <w:p>
            <w:pPr>
              <w:pStyle w:val="Compact"/>
              <w:numPr>
                <w:ilvl w:val="0"/>
                <w:numId w:val="1001"/>
              </w:numPr>
            </w:pPr>
            <w:r>
              <w:t xml:space="preserve">Rationalization applies three lenses — utilization, version and end-of-life posture, and dependencies — to every inventoried instance.</w:t>
            </w:r>
            <w:r>
              <w:rPr>
                <w:rStyle w:val="FootnoteReference"/>
              </w:rPr>
              <w:footnoteReference w:id="22"/>
            </w:r>
          </w:p>
          <w:p>
            <w:pPr>
              <w:pStyle w:val="Compact"/>
              <w:numPr>
                <w:ilvl w:val="0"/>
                <w:numId w:val="1001"/>
              </w:numPr>
            </w:pPr>
            <w:r>
              <w:t xml:space="preserve">Idle instances and zombie databases are retired, which shrinks the migration surface.</w:t>
            </w:r>
          </w:p>
          <w:p>
            <w:pPr>
              <w:pStyle w:val="Compact"/>
              <w:numPr>
                <w:ilvl w:val="0"/>
                <w:numId w:val="1001"/>
              </w:numPr>
            </w:pPr>
            <w:r>
              <w:t xml:space="preserve">The three lenses together produce the per-instance retain, consolidate or retire judgment.</w:t>
            </w:r>
          </w:p>
          <w:p/>
        </w:tc>
      </w:tr>
    </w:tbl>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hyperlink r:id="rId14">
        <w:r>
          <w:rPr>
            <w:rStyle w:val="Hyperlink"/>
          </w:rPr>
          <w:t xml:space="preserve">CREATE LOGIN (Transact-SQL)</w:t>
        </w:r>
      </w:hyperlink>
      <w:r>
        <w:t xml:space="preserve">.</w:t>
      </w:r>
    </w:p>
  </w:footnote>
  <w:footnote w:id="22">
    <w:p>
      <w:pPr>
        <w:pStyle w:val="FootnoteText"/>
      </w:pPr>
      <w:r>
        <w:rPr>
          <w:rStyle w:val="FootnoteReference"/>
        </w:rPr>
        <w:footnoteRef/>
      </w:r>
      <w:r>
        <w:t xml:space="preserve"> </w:t>
      </w:r>
      <w:r>
        <w:t xml:space="preserve">Microsoft Learn,</w:t>
      </w:r>
      <w:r>
        <w:t xml:space="preserve"> </w:t>
      </w:r>
      <w:hyperlink r:id="rId23">
        <w:r>
          <w:rPr>
            <w:rStyle w:val="Hyperlink"/>
          </w:rPr>
          <w:t xml:space="preserve">Microsoft Entra authentication for SQL Server overview</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9" Target="media/rId9.png" /><Relationship Type="http://schemas.openxmlformats.org/officeDocument/2006/relationships/hyperlink" Id="rId23"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23"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Rationalization: Utilization, Versions, and Dependencies</dc:title>
  <dc:creator/>
  <cp:keywords/>
  <dcterms:created xsi:type="dcterms:W3CDTF">2026-10-19T10:09:22Z</dcterms:created>
  <dcterms:modified xsi:type="dcterms:W3CDTF">2026-10-19T10:09:22Z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02</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3</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