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Book_05 — The Login Migration: Windows Principals to Entra Logins</w:t>
      </w:r>
    </w:p>
    <w:p>
      <w:pPr>
        <w:pStyle w:val="Subtitle"/>
      </w:pPr>
      <w:r>
        <w:t xml:space="preserve">The Technical Heart of the Series — FROM EXTERNAL PROVIDER and the Parallel-Run Cutover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3" w:name="Xf49acc20ba4dd9d12a6b549dbd651b1c6ebd065"/>
    <w:p>
      <w:pPr>
        <w:pStyle w:val="Heading1"/>
      </w:pPr>
      <w:r>
        <w:t xml:space="preserve">Book_05 — The Login Migration: Windows Principals to Entra Logins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Everything in Books 01 through 04 is prerequisite; everything in Books 06 through 09 is consequence. This book is the migration itself — performed only on the instances Book 02 classified</w:t>
            </w:r>
            <w:r>
              <w:t xml:space="preserve"> </w:t>
            </w:r>
            <w:r>
              <w:rPr>
                <w:b/>
                <w:bCs/>
              </w:rPr>
              <w:t xml:space="preserve">retain</w:t>
            </w:r>
            <w:r>
              <w:t xml:space="preserve"> </w:t>
            </w:r>
            <w:r>
              <w:t xml:space="preserve">or</w:t>
            </w:r>
            <w:r>
              <w:t xml:space="preserve"> </w:t>
            </w:r>
            <w:r>
              <w:rPr>
                <w:b/>
                <w:bCs/>
              </w:rPr>
              <w:t xml:space="preserve">target</w:t>
            </w:r>
            <w:r>
              <w:t xml:space="preserve">, using the three-phase parallel-run pattern that the SQL Server engine-authentication decision makes normative.</w:t>
            </w:r>
          </w:p>
          <w:p/>
        </w:tc>
      </w:tr>
    </w:tbl>
    <w:p>
      <w:pPr>
        <w:pStyle w:val="CaptionedFigure"/>
      </w:pPr>
      <w:r>
        <w:drawing>
          <wp:inline>
            <wp:extent cx="5153025" cy="3752850"/>
            <wp:effectExtent b="0" l="0" r="0" t="0"/>
            <wp:docPr descr="Every legacy login type maps to an Entra principal." title="" id="13" name="Picture"/>
            <a:graphic>
              <a:graphicData uri="http://schemas.openxmlformats.org/drawingml/2006/picture">
                <pic:pic>
                  <pic:nvPicPr>
                    <pic:cNvPr descr="../../images/sql-server/diagrams/svg/book-05-principal-mapping.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153025" cy="3752850"/>
                    </a:xfrm>
                    <a:prstGeom prst="rect">
                      <a:avLst/>
                    </a:prstGeom>
                    <a:noFill/>
                    <a:ln w="9525">
                      <a:noFill/>
                      <a:headEnd/>
                      <a:tailEnd/>
                    </a:ln>
                  </pic:spPr>
                </pic:pic>
              </a:graphicData>
            </a:graphic>
          </wp:inline>
        </w:drawing>
      </w:r>
    </w:p>
    <w:p>
      <w:pPr>
        <w:pStyle w:val="ImageCaption"/>
      </w:pPr>
      <w:r>
        <w:t xml:space="preserve">Every legacy login type maps to an Entra principal.</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6" name="Picture"/>
                  <a:graphic>
                    <a:graphicData uri="http://schemas.openxmlformats.org/drawingml/2006/picture">
                      <pic:pic>
                        <pic:nvPicPr>
                          <pic:cNvPr descr="/opt/quarto/share/formats/docx/tip.png" id="17"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book</w:t>
            </w:r>
          </w:p>
        </w:tc>
      </w:tr>
      <w:tr>
        <w:trPr>
          <w:cantSplit/>
        </w:trPr>
        <w:tc>
          <w:tcPr>
            <w:tcMar>
              <w:top w:w="108" w:type="dxa"/>
              <w:bottom w:w="108" w:type="dxa"/>
            </w:tcMar>
          </w:tcPr>
          <w:p>
            <w:pPr>
              <w:pStyle w:val="BodyText"/>
            </w:pPr>
            <w:pPr>
              <w:spacing w:before="16" w:after="16"/>
            </w:pPr>
            <w:hyperlink r:id="rId18">
              <w:r>
                <w:rPr>
                  <w:rStyle w:val="Hyperlink"/>
                  <w:b/>
                  <w:bCs/>
                </w:rPr>
                <w:t xml:space="preserve">Book_05-bundle.docx</w:t>
              </w:r>
            </w:hyperlink>
            <w:r>
              <w:t xml:space="preserve"> </w:t>
            </w:r>
            <w:r>
              <w:t xml:space="preserve">— every chapter of this book concatenated into one Word document. Regenerated on every site deploy.</w:t>
            </w:r>
          </w:p>
          <w:p/>
        </w:tc>
      </w:tr>
    </w:tbl>
    <w:bookmarkStart w:id="21" w:name="chapters"/>
    <w:p>
      <w:pPr>
        <w:pStyle w:val="Heading2"/>
      </w:pPr>
      <w:r>
        <w:t xml:space="preserve">Chapters</w:t>
      </w:r>
    </w:p>
    <w:bookmarkStart w:id="19" w:name="book-chapters"/>
    <w:bookmarkEnd w:id="19"/>
    <w:p>
      <w:pPr>
        <w:pStyle w:val="FirstParagraph"/>
      </w:pPr>
      <w:r>
        <w:rPr>
          <w:b/>
          <w:bCs/>
        </w:rPr>
        <w:t xml:space="preserve">Place in the</w:t>
      </w:r>
      <w:r>
        <w:rPr>
          <w:b/>
          <w:bCs/>
        </w:rPr>
        <w:t xml:space="preserve"> </w:t>
      </w:r>
      <w:hyperlink r:id="rId20">
        <w:r>
          <w:rPr>
            <w:rStyle w:val="Hyperlink"/>
            <w:b/>
            <w:bCs/>
          </w:rPr>
          <w:t xml:space="preserve">dependency chain</w:t>
        </w:r>
      </w:hyperlink>
      <w:r>
        <w:rPr>
          <w:b/>
          <w:bCs/>
        </w:rPr>
        <w:t xml:space="preserve">:</w:t>
      </w:r>
      <w:r>
        <w:t xml:space="preserve"> </w:t>
      </w:r>
      <w:r>
        <w:t xml:space="preserve">Steps 5 and 7 — Introduce Entra principals, then remove legacy principals.</w:t>
      </w:r>
    </w:p>
    <w:bookmarkEnd w:id="21"/>
    <w:bookmarkStart w:id="32"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22">
        <w:r>
          <w:rPr>
            <w:rStyle w:val="Hyperlink"/>
          </w:rPr>
          <w:t xml:space="preserve">CREATE LOGIN (Transact-SQL)</w:t>
        </w:r>
      </w:hyperlink>
    </w:p>
    <w:p>
      <w:pPr>
        <w:pStyle w:val="Compact"/>
        <w:numPr>
          <w:ilvl w:val="0"/>
          <w:numId w:val="1001"/>
        </w:numPr>
      </w:pPr>
      <w:hyperlink r:id="rId23">
        <w:r>
          <w:rPr>
            <w:rStyle w:val="Hyperlink"/>
          </w:rPr>
          <w:t xml:space="preserve">sys.server_principals (Transact-SQL)</w:t>
        </w:r>
      </w:hyperlink>
    </w:p>
    <w:p>
      <w:pPr>
        <w:pStyle w:val="Compact"/>
        <w:numPr>
          <w:ilvl w:val="0"/>
          <w:numId w:val="1001"/>
        </w:numPr>
      </w:pPr>
      <w:hyperlink r:id="rId24">
        <w:r>
          <w:rPr>
            <w:rStyle w:val="Hyperlink"/>
          </w:rPr>
          <w:t xml:space="preserve">Disable SQL Authentication — SQL Server enabled by Azure Arc</w:t>
        </w:r>
      </w:hyperlink>
    </w:p>
    <w:p>
      <w:pPr>
        <w:pStyle w:val="Compact"/>
        <w:numPr>
          <w:ilvl w:val="0"/>
          <w:numId w:val="1001"/>
        </w:numPr>
      </w:pPr>
      <w:hyperlink r:id="rId25">
        <w:r>
          <w:rPr>
            <w:rStyle w:val="Hyperlink"/>
          </w:rPr>
          <w:t xml:space="preserve">Change server authentication mode</w:t>
        </w:r>
      </w:hyperlink>
    </w:p>
    <w:p>
      <w:pPr>
        <w:pStyle w:val="Compact"/>
        <w:numPr>
          <w:ilvl w:val="0"/>
          <w:numId w:val="1001"/>
        </w:numPr>
      </w:pPr>
      <w:hyperlink r:id="rId26">
        <w:r>
          <w:rPr>
            <w:rStyle w:val="Hyperlink"/>
          </w:rPr>
          <w:t xml:space="preserve">What is Conditional Access?</w:t>
        </w:r>
      </w:hyperlink>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tip.png" id="28"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29">
              <w:r>
                <w:rPr>
                  <w:rStyle w:val="Hyperlink"/>
                </w:rPr>
                <w:t xml:space="preserve">← Previous: Book 04 — Arc as the Identity Bridge</w:t>
              </w:r>
            </w:hyperlink>
            <w:r>
              <w:t xml:space="preserve"> </w:t>
            </w:r>
            <w:r>
              <w:t xml:space="preserve">·</w:t>
            </w:r>
            <w:r>
              <w:t xml:space="preserve"> </w:t>
            </w:r>
            <w:hyperlink r:id="rId30">
              <w:r>
                <w:rPr>
                  <w:rStyle w:val="Hyperlink"/>
                </w:rPr>
                <w:t xml:space="preserve">Index</w:t>
              </w:r>
            </w:hyperlink>
            <w:r>
              <w:t xml:space="preserve"> </w:t>
            </w:r>
            <w:r>
              <w:t xml:space="preserve">·</w:t>
            </w:r>
            <w:r>
              <w:t xml:space="preserve"> </w:t>
            </w:r>
            <w:hyperlink r:id="rId31">
              <w:r>
                <w:rPr>
                  <w:rStyle w:val="Hyperlink"/>
                </w:rPr>
                <w:t xml:space="preserve">Next: Book 06 — Eliminating NTLM at the SQL Layer →</w:t>
              </w:r>
            </w:hyperlink>
          </w:p>
          <w:p/>
        </w:tc>
      </w:tr>
    </w:tbl>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15" Target="media/rId15.png" /><Relationship Type="http://schemas.openxmlformats.org/officeDocument/2006/relationships/hyperlink" Id="rId18" Target="../../../downloads/Book_05-bundle.docx" TargetMode="External" /><Relationship Type="http://schemas.openxmlformats.org/officeDocument/2006/relationships/hyperlink" Id="rId29" Target="Book_04.md" TargetMode="External" /><Relationship Type="http://schemas.openxmlformats.org/officeDocument/2006/relationships/hyperlink" Id="rId31" Target="Book_06.md" TargetMode="External" /><Relationship Type="http://schemas.openxmlformats.org/officeDocument/2006/relationships/hyperlink" Id="rId26" Target="https://learn.microsoft.com/en-us/entra/identity/conditional-access/overview" TargetMode="External" /><Relationship Type="http://schemas.openxmlformats.org/officeDocument/2006/relationships/hyperlink" Id="rId25" Target="https://learn.microsoft.com/en-us/sql/database-engine/configure-windows/change-server-authentication-mode?view=sql-server-ver17" TargetMode="External" /><Relationship Type="http://schemas.openxmlformats.org/officeDocument/2006/relationships/hyperlink" Id="rId23" Target="https://learn.microsoft.com/en-us/sql/relational-databases/system-catalog-views/sys-server-principals-transact-sql?view=sql-server-ver17" TargetMode="External" /><Relationship Type="http://schemas.openxmlformats.org/officeDocument/2006/relationships/hyperlink" Id="rId24" Target="https://learn.microsoft.com/en-us/sql/sql-server/azure-arc/disable-sql-authentication?view=sql-server-ver17" TargetMode="External" /><Relationship Type="http://schemas.openxmlformats.org/officeDocument/2006/relationships/hyperlink" Id="rId22" Target="https://learn.microsoft.com/en-us/sql/t-sql/statements/create-login-transact-sql?view=sql-server-ver17" TargetMode="External" /><Relationship Type="http://schemas.openxmlformats.org/officeDocument/2006/relationships/hyperlink" Id="rId30" Target="index.md" TargetMode="External" /><Relationship Type="http://schemas.openxmlformats.org/officeDocument/2006/relationships/hyperlink" Id="rId20" Target="series-overview.md#the-dependency-chain" TargetMode="External" /></Relationships>
</file>

<file path=word/_rels/footnotes.xml.rels><?xml version="1.0" encoding="UTF-8"?><Relationships xmlns="http://schemas.openxmlformats.org/package/2006/relationships"><Relationship Type="http://schemas.openxmlformats.org/officeDocument/2006/relationships/hyperlink" Id="rId18" Target="../../../downloads/Book_05-bundle.docx" TargetMode="External" /><Relationship Type="http://schemas.openxmlformats.org/officeDocument/2006/relationships/hyperlink" Id="rId29" Target="Book_04.md" TargetMode="External" /><Relationship Type="http://schemas.openxmlformats.org/officeDocument/2006/relationships/hyperlink" Id="rId31" Target="Book_06.md" TargetMode="External" /><Relationship Type="http://schemas.openxmlformats.org/officeDocument/2006/relationships/hyperlink" Id="rId26" Target="https://learn.microsoft.com/en-us/entra/identity/conditional-access/overview" TargetMode="External" /><Relationship Type="http://schemas.openxmlformats.org/officeDocument/2006/relationships/hyperlink" Id="rId25" Target="https://learn.microsoft.com/en-us/sql/database-engine/configure-windows/change-server-authentication-mode?view=sql-server-ver17" TargetMode="External" /><Relationship Type="http://schemas.openxmlformats.org/officeDocument/2006/relationships/hyperlink" Id="rId23" Target="https://learn.microsoft.com/en-us/sql/relational-databases/system-catalog-views/sys-server-principals-transact-sql?view=sql-server-ver17" TargetMode="External" /><Relationship Type="http://schemas.openxmlformats.org/officeDocument/2006/relationships/hyperlink" Id="rId24" Target="https://learn.microsoft.com/en-us/sql/sql-server/azure-arc/disable-sql-authentication?view=sql-server-ver17" TargetMode="External" /><Relationship Type="http://schemas.openxmlformats.org/officeDocument/2006/relationships/hyperlink" Id="rId22" Target="https://learn.microsoft.com/en-us/sql/t-sql/statements/create-login-transact-sql?view=sql-server-ver17" TargetMode="External" /><Relationship Type="http://schemas.openxmlformats.org/officeDocument/2006/relationships/hyperlink" Id="rId30" Target="index.md" TargetMode="External" /><Relationship Type="http://schemas.openxmlformats.org/officeDocument/2006/relationships/hyperlink" Id="rId20" Target="series-overview.md#the-dependency-cha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Book_05 — The Login Migration: Windows Principals to Entra Logins</dc:title>
  <dc:creator/>
  <dc:description>The moment the SQL Server engine stops accepting Kerberos tickets and Windows challenge-response and starts accepting Entra ID-issued OAuth 2.0 tokens. Describes the three principal types (Entra user, Entra security group, Entra service principal), the FROM EXTERNAL PROVIDER syntax that makes the migration possible on SQL Server 2022, the three-phase parallel-run cutover pattern, and the engineering decisions the SQL Server engine-authentication decision formalizes.</dc:description>
  <cp:keywords/>
  <dcterms:created xsi:type="dcterms:W3CDTF">2026-10-19T10:09:25Z</dcterms:created>
  <dcterms:modified xsi:type="dcterms:W3CDTF">2026-10-19T10:09:25Z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sql-server-narrative-book</vt:lpwstr>
  </property>
  <property fmtid="{D5CDD505-2E9C-101B-9397-08002B2CF9AE}" pid="5" name="family">
    <vt:lpwstr>sql-server-narrative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listing">
    <vt:lpwstr/>
  </property>
  <property fmtid="{D5CDD505-2E9C-101B-9397-08002B2CF9AE}" pid="13" name="series-order">
    <vt:lpwstr>5</vt:lpwstr>
  </property>
  <property fmtid="{D5CDD505-2E9C-101B-9397-08002B2CF9AE}" pid="14" name="status">
    <vt:lpwstr>draft</vt:lpwstr>
  </property>
  <property fmtid="{D5CDD505-2E9C-101B-9397-08002B2CF9AE}" pid="15" name="subtitle">
    <vt:lpwstr>The Technical Heart of the Series — FROM EXTERNAL PROVIDER and the Parallel-Run Cutover</vt:lpwstr>
  </property>
  <property fmtid="{D5CDD505-2E9C-101B-9397-08002B2CF9AE}" pid="16" name="tiers_adopted">
    <vt:lpwstr/>
  </property>
  <property fmtid="{D5CDD505-2E9C-101B-9397-08002B2CF9AE}" pid="17" name="toc-title">
    <vt:lpwstr>Table of contents</vt:lpwstr>
  </property>
</Properties>
</file>