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the Engine-Authentication Decision Settles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Xc31e537c3bed07decdb4d97d1926a2eaf99c540"/>
    <w:p>
      <w:pPr>
        <w:pStyle w:val="Heading1"/>
      </w:pPr>
      <w:r>
        <w:t xml:space="preserve">Chapter 2 — What the Engine-Authentication Decision Settles</w:t>
      </w:r>
    </w:p>
    <w:p>
      <w:pPr>
        <w:pStyle w:val="FirstParagraph"/>
      </w:pPr>
      <w:r>
        <w:rPr>
          <w:i/>
          <w:iCs/>
        </w:rPr>
        <w:t xml:space="preserve">The five governance positions that turn the migration pattern into enforceable canon.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five decisions the engine-authentication decision records — that consolidation gates auth migration, that the parallel-run sequence is required, that SQL Authentication is eliminated and</w:t>
            </w:r>
            <w:r>
              <w:t xml:space="preserve"> </w:t>
            </w:r>
            <w:r>
              <w:rPr>
                <w:rStyle w:val="VerbatimChar"/>
              </w:rPr>
              <w:t xml:space="preserve">sa</w:t>
            </w:r>
            <w:r>
              <w:t xml:space="preserve"> </w:t>
            </w:r>
            <w:r>
              <w:t xml:space="preserve">disabled and renamed, that pre-2022 instances are upgrade-or-except with a Certificate-Based Authentication interim posture, and that the per-instance compliance record is the closure artifact.</w:t>
            </w:r>
          </w:p>
          <w:p/>
        </w:tc>
      </w:tr>
    </w:tbl>
    <w:p>
      <w:pPr>
        <w:pStyle w:val="CaptionedFigure"/>
      </w:pPr>
      <w:r>
        <w:drawing>
          <wp:inline>
            <wp:extent cx="5295900" cy="5314950"/>
            <wp:effectExtent b="0" l="0" r="0" t="0"/>
            <wp:docPr descr="The five positions of the engine-authentication decision, in operational order, ending in the closure record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5-ch02-five-decision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five positions of the engine-authentication decision, in operational order, ending in the closure record.</w:t>
      </w:r>
    </w:p>
    <w:p>
      <w:pPr>
        <w:pStyle w:val="BodyText"/>
      </w:pPr>
      <w:r>
        <w:t xml:space="preserve">Chapter 1’s pattern covers the engineering case, Windows logins migrated through</w:t>
      </w:r>
      <w:r>
        <w:t xml:space="preserve"> </w:t>
      </w:r>
      <w:r>
        <w:rPr>
          <w:rStyle w:val="VerbatimChar"/>
        </w:rPr>
        <w:t xml:space="preserve">FROM EXTERNAL PROVIDER</w:t>
      </w:r>
      <w:r>
        <w:t xml:space="preserve">,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but leaves governance positions that need a decision, not a narrative. The SQL Server engine-authentication decision (currently proposed) is the engine-layer companion to the Kerberos/NTLM-elimination program (protocol layer) and the Arc non-domain-join requirement (server and OS layer). It answers all five positions, in operational order.</w:t>
      </w:r>
    </w:p>
    <w:bookmarkStart w:id="20" w:name="X0d2cbd133dac32560bae7d27eeed327435480b3"/>
    <w:p>
      <w:pPr>
        <w:pStyle w:val="Heading2"/>
      </w:pPr>
      <w:r>
        <w:t xml:space="preserve">Decision 1 — Consolidation Precedes and Gates Auth Migration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Established in Book 02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instance is classified retain, consolidate-into-target, or retire before any migration work; Arc-eligibility Categories 1–3 are layered on top.</w:t>
            </w:r>
          </w:p>
          <w:p/>
        </w:tc>
      </w:tr>
    </w:tbl>
    <w:p>
      <w:pPr>
        <w:pStyle w:val="BodyText"/>
      </w:pPr>
      <w:r>
        <w:t xml:space="preserve">The decision makes that assessment the normative prerequisite for this book. Only retain instances and consolidation targets are migrated; migrating logins on instances about to be retired or collapsed is wasted effort. Consolidating into fewer SQL Server 2022 or later targets, Azure SQL Managed Instance, or Arc-enabled SQL is also the natural moment to retire cross-domain login sprawl, orphaned SPNs, and shared service accounts.</w:t>
      </w:r>
    </w:p>
    <w:bookmarkEnd w:id="20"/>
    <w:bookmarkStart w:id="23" w:name="X03355f699cfd7d155855994729bbb8648689877"/>
    <w:p>
      <w:pPr>
        <w:pStyle w:val="Heading2"/>
      </w:pPr>
      <w:r>
        <w:t xml:space="preserve">Decision 2 — The Parallel-Run Sequence Is Required</w:t>
      </w:r>
    </w:p>
    <w:p>
      <w:pPr>
        <w:pStyle w:val="FirstParagraph"/>
      </w:pPr>
      <w:r>
        <w:t xml:space="preserve">On every retain or target instance, Windows logins (type U users, type G groups) and SQL Authentication logins (type S) migrate to Entra external-provider logins through Chapter 1’s parallel run, which is required for production. The letters are the values of</w:t>
      </w:r>
      <w:r>
        <w:t xml:space="preserve"> </w:t>
      </w:r>
      <w:r>
        <w:rPr>
          <w:rStyle w:val="VerbatimChar"/>
        </w:rPr>
        <w:t xml:space="preserve">sys.server_principals.type</w:t>
      </w:r>
      <w:r>
        <w:t xml:space="preserve">, not mnemonics:</w:t>
      </w:r>
      <w:r>
        <w:t xml:space="preserve"> </w:t>
      </w:r>
      <w:r>
        <w:rPr>
          <w:b/>
          <w:bCs/>
        </w:rPr>
        <w:t xml:space="preserve">S</w:t>
      </w:r>
      <w:r>
        <w:t xml:space="preserve"> </w:t>
      </w:r>
      <w:r>
        <w:t xml:space="preserve">SQL login,</w:t>
      </w:r>
      <w:r>
        <w:t xml:space="preserve"> </w:t>
      </w:r>
      <w:r>
        <w:rPr>
          <w:b/>
          <w:bCs/>
        </w:rPr>
        <w:t xml:space="preserve">U</w:t>
      </w:r>
      <w:r>
        <w:t xml:space="preserve"> </w:t>
      </w:r>
      <w:r>
        <w:t xml:space="preserve">Windows login,</w:t>
      </w:r>
      <w:r>
        <w:t xml:space="preserve"> </w:t>
      </w:r>
      <w:r>
        <w:rPr>
          <w:b/>
          <w:bCs/>
        </w:rPr>
        <w:t xml:space="preserve">G</w:t>
      </w:r>
      <w:r>
        <w:t xml:space="preserve"> </w:t>
      </w:r>
      <w:r>
        <w:t xml:space="preserve">Windows group,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external (Entra) login.</w:t>
      </w:r>
      <w:r>
        <w:rPr>
          <w:rStyle w:val="FootnoteReference"/>
        </w:rPr>
        <w:footnoteReference w:id="21"/>
      </w:r>
      <w:r>
        <w:t xml:space="preserve"> </w:t>
      </w:r>
      <w:r>
        <w:t xml:space="preserve">There is no type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— a discovery query written against one returns zero rows and reports a clean instance, which is how a typo becomes a false attestation of closure.</w:t>
      </w:r>
    </w:p>
    <w:p>
      <w:pPr>
        <w:pStyle w:val="BodyText"/>
      </w:pPr>
      <w:r>
        <w:t xml:space="preserve">Non-production instances may compress the 30-day observation window only with documented owner sign-off. Disable-and-observe keeps every cutover reversible inside the window, so a wrong mapping locks no one out.</w:t>
      </w:r>
    </w:p>
    <w:bookmarkEnd w:id="23"/>
    <w:bookmarkStart w:id="26" w:name="X7bdddad5711b4e7e4b5ecd17a58bd1408d96b42"/>
    <w:p>
      <w:pPr>
        <w:pStyle w:val="Heading2"/>
      </w:pPr>
      <w:r>
        <w:t xml:space="preserve">Decision 3 — SQL Authentication Eliminated; sa Disabled and Renamed</w:t>
      </w:r>
    </w:p>
    <w:p>
      <w:pPr>
        <w:pStyle w:val="FirstParagraph"/>
      </w:pPr>
      <w:r>
        <w:t xml:space="preserve">Every active type-S login on a retain or target instance migrates to a service-principal or managed-identity login, or carries a documented exception with a named compensating control and a sunset date. Open-ended retention is not an option: SQL Authentication is invisible to Conditional Access and Defender for Identity.</w:t>
      </w:r>
      <w:r>
        <w:rPr>
          <w:rStyle w:val="FootnoteReference"/>
        </w:rPr>
        <w:footnoteReference w:id="24"/>
      </w:r>
    </w:p>
    <w:p>
      <w:pPr>
        <w:pStyle w:val="BodyText"/>
      </w:pPr>
      <w:r>
        <w:rPr>
          <w:rStyle w:val="VerbatimChar"/>
        </w:rPr>
        <w:t xml:space="preserve">sa</w:t>
      </w:r>
      <w:r>
        <w:t xml:space="preserve"> </w:t>
      </w:r>
      <w:r>
        <w:t xml:space="preserve">is disabled and renamed on every production instance. Any retained emergency recovery is a documented, monitored break-glass procedure, not an active</w:t>
      </w:r>
      <w:r>
        <w:t xml:space="preserve"> </w:t>
      </w:r>
      <w:r>
        <w:rPr>
          <w:rStyle w:val="VerbatimChar"/>
        </w:rPr>
        <w:t xml:space="preserve">sa</w:t>
      </w:r>
      <w:r>
        <w:t xml:space="preserve">. An enabled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with a non-rotated password is the authentication audit’s highest-priority finding.</w:t>
      </w:r>
    </w:p>
    <w:bookmarkEnd w:id="26"/>
    <w:bookmarkStart w:id="31" w:name="X8b6b447c9d8dcbd40bb12d38b2e45e544551608"/>
    <w:p>
      <w:pPr>
        <w:pStyle w:val="Heading2"/>
      </w:pPr>
      <w:r>
        <w:t xml:space="preserve">Decision 4 — Pre-2022 Instances Are Upgrade-or-Except</w:t>
      </w:r>
    </w:p>
    <w:p>
      <w:pPr>
        <w:pStyle w:val="FirstParagraph"/>
      </w:pPr>
      <w:r>
        <w:t xml:space="preserve">External-provider logins require SQL Server 2022 or later with the Azure extension on an Arc-enabled host, so a pre-2022 Category 3 instance cannot accept them regardless of Arc status.</w:t>
      </w:r>
      <w:r>
        <w:rPr>
          <w:rStyle w:val="FootnoteReference"/>
        </w:rPr>
        <w:footnoteReference w:id="27"/>
      </w:r>
      <w:r>
        <w:t xml:space="preserve"> </w:t>
      </w:r>
      <w:r>
        <w:t xml:space="preserve">A Category 3 retain instance either upgrades and follows the Category 2-to-1 pathway or files a sunset-dated exception, though most Category 3 instances should be retire or consolidation candidates. An exception records the reason, the compensating control (for example, an identity-protection product that applies MFA or block policies to Kerberos and NTLM at the domain controller),</w:t>
      </w:r>
      <w:r>
        <w:rPr>
          <w:rStyle w:val="FootnoteReference"/>
        </w:rPr>
        <w:footnoteReference w:id="29"/>
      </w:r>
      <w:r>
        <w:t xml:space="preserve"> </w:t>
      </w:r>
      <w:r>
        <w:t xml:space="preserve">the maximum duration, and acknowledgement that the 2027-04-01 NTLM block is network-level and ignores engine-layer exceptions.</w:t>
      </w:r>
    </w:p>
    <w:p>
      <w:pPr>
        <w:pStyle w:val="BodyText"/>
      </w:pPr>
      <w:r>
        <w:t xml:space="preserve">Connections that cannot reach Kerberos or Entra OAuth by that date use Certificate-Based Authentication, the authorized interim posture, which makes the ADCS-to-Cloud-PKI transformation (Not Yet Defined in the transformation inventory) a hard dependency for the exception long tail.</w:t>
      </w:r>
    </w:p>
    <w:bookmarkEnd w:id="31"/>
    <w:bookmarkStart w:id="40" w:name="Xea35da8a28ec3d3f01cfd88f685401f79560f8a"/>
    <w:p>
      <w:pPr>
        <w:pStyle w:val="Heading2"/>
      </w:pPr>
      <w:r>
        <w:t xml:space="preserve">Decision 5 — The Per-Instance Compliance Record Is the Closure Artifact</w:t>
      </w:r>
    </w:p>
    <w:p>
      <w:pPr>
        <w:pStyle w:val="FirstParagraph"/>
      </w:pPr>
      <w:r>
        <w:t xml:space="preserve">An instance is closed when its compliance record simultaneously shows SQL authentication refused (</w:t>
      </w:r>
      <w:r>
        <w:rPr>
          <w:rStyle w:val="VerbatimChar"/>
        </w:rPr>
        <w:t xml:space="preserve">LoginMode = 1</w:t>
      </w:r>
      <w:r>
        <w:t xml:space="preserve">; on SQL Server 2025, Disable SQL Authentication as well), zero active type-S logins outside the exception registry, zero active type-U or type-G logins,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disabled and renamed, the Arc Connected Machine agent enrolled and healthy, the Azure extension for SQL Server deployed with Entra authentication configured, and — for human principals — Conditional Access MFA enforcement satisfied for SQL Server resource sign-ins over a defined validation period.</w:t>
      </w:r>
      <w:r>
        <w:rPr>
          <w:rStyle w:val="FootnoteReference"/>
        </w:rPr>
        <w:footnoteReference w:id="32"/>
      </w:r>
      <w:r>
        <w:rPr>
          <w:rStyle w:val="FootnoteReference"/>
        </w:rPr>
        <w:footnoteReference w:id="34"/>
      </w:r>
      <w:r>
        <w:rPr>
          <w:rStyle w:val="FootnoteReference"/>
        </w:rPr>
        <w:footnoteReference w:id="36"/>
      </w:r>
    </w:p>
    <w:p>
      <w:pPr>
        <w:pStyle w:val="BodyText"/>
      </w:pPr>
      <w:r>
        <w:t xml:space="preserve">“Done”</w:t>
      </w:r>
      <w:r>
        <w:t xml:space="preserve"> </w:t>
      </w:r>
      <w:r>
        <w:t xml:space="preserve">becomes a queryable posture instead of a claim. Because no engine setting blocks Windows authentication, the record evidences the Entra-exclusive posture rather than reading a mode switch (Book 09). Closure is continuously verified: the authentication audit runs on a schedule, and drift (</w:t>
      </w:r>
      <w:r>
        <w:rPr>
          <w:rStyle w:val="VerbatimChar"/>
        </w:rPr>
        <w:t xml:space="preserve">LoginMode</w:t>
      </w:r>
      <w:r>
        <w:t xml:space="preserve"> </w:t>
      </w:r>
      <w:r>
        <w:t xml:space="preserve">reverting, a new type-S, U, or G login, the Arc agent going offline) is a violation that triggers remediation.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Book 05 establishes — Chapter 2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Consolidation gates migration, and the parallel run is required in production.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SQL Authentication is eliminated and</w:t>
            </w:r>
            <w:r>
              <w:t xml:space="preserve"> </w:t>
            </w:r>
            <w:r>
              <w:rPr>
                <w:rStyle w:val="VerbatimChar"/>
              </w:rPr>
              <w:t xml:space="preserve">sa</w:t>
            </w:r>
            <w:r>
              <w:t xml:space="preserve"> </w:t>
            </w:r>
            <w:r>
              <w:t xml:space="preserve">disabled and renamed; pre-2022 instances upgrade or carry a sunset-dated exception.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per-instance compliance record is the continuously re-verified closure artifact.</w:t>
            </w:r>
          </w:p>
          <w:p/>
        </w:tc>
      </w:tr>
    </w:tbl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CREATE LOGIN (Transact-SQL)</w:t>
        </w:r>
      </w:hyperlink>
      <w:r>
        <w:t xml:space="preserve">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2">
        <w:r>
          <w:rPr>
            <w:rStyle w:val="Hyperlink"/>
          </w:rPr>
          <w:t xml:space="preserve">sys.server_principals (Transact-SQL)</w:t>
        </w:r>
      </w:hyperlink>
      <w:r>
        <w:t xml:space="preserve">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5">
        <w:r>
          <w:rPr>
            <w:rStyle w:val="Hyperlink"/>
          </w:rPr>
          <w:t xml:space="preserve">What is Conditional Access?</w:t>
        </w:r>
      </w:hyperlink>
      <w:r>
        <w:t xml:space="preserve">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8">
        <w:r>
          <w:rPr>
            <w:rStyle w:val="Hyperlink"/>
          </w:rPr>
          <w:t xml:space="preserve">Overview — SQL Server enabled by Azure Arc</w:t>
        </w:r>
      </w:hyperlink>
      <w:r>
        <w:t xml:space="preserve">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Third-party source (vendor case study), Silverfort,</w:t>
      </w:r>
      <w:r>
        <w:t xml:space="preserve"> </w:t>
      </w:r>
      <w:hyperlink r:id="rId30">
        <w:r>
          <w:rPr>
            <w:rStyle w:val="Hyperlink"/>
          </w:rPr>
          <w:t xml:space="preserve">Customer case study: preventing NTLM-based lateral movement with Silverfort</w:t>
        </w:r>
      </w:hyperlink>
      <w:r>
        <w:t xml:space="preserve">. Cited as an example of the control category, not an endorsement.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3">
        <w:r>
          <w:rPr>
            <w:rStyle w:val="Hyperlink"/>
          </w:rPr>
          <w:t xml:space="preserve">Change server authentication mode</w:t>
        </w:r>
      </w:hyperlink>
      <w:r>
        <w:t xml:space="preserve">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5">
        <w:r>
          <w:rPr>
            <w:rStyle w:val="Hyperlink"/>
          </w:rPr>
          <w:t xml:space="preserve">Azure Arc-enabled servers overview</w:t>
        </w:r>
      </w:hyperlink>
      <w:r>
        <w:t xml:space="preserve">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7">
        <w:r>
          <w:rPr>
            <w:rStyle w:val="Hyperlink"/>
          </w:rPr>
          <w:t xml:space="preserve">Disable SQL Authentication — SQL Server enabled by Azure Arc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35" Target="https://learn.microsoft.com/en-us/azure/azure-arc/servers/overview" TargetMode="External" /><Relationship Type="http://schemas.openxmlformats.org/officeDocument/2006/relationships/hyperlink" Id="rId25" Target="https://learn.microsoft.com/en-us/entra/identity/conditional-access/overview" TargetMode="External" /><Relationship Type="http://schemas.openxmlformats.org/officeDocument/2006/relationships/hyperlink" Id="rId33" Target="https://learn.microsoft.com/en-us/sql/database-engine/configure-windows/change-server-authentication-mode?view=sql-server-ver17" TargetMode="External" /><Relationship Type="http://schemas.openxmlformats.org/officeDocument/2006/relationships/hyperlink" Id="rId22" Target="https://learn.microsoft.com/en-us/sql/relational-databases/system-catalog-views/sys-server-principals-transact-sql?view=sql-server-ver17" TargetMode="External" /><Relationship Type="http://schemas.openxmlformats.org/officeDocument/2006/relationships/hyperlink" Id="rId37" Target="https://learn.microsoft.com/en-us/sql/sql-server/azure-arc/disable-sql-authentication?view=sql-server-ver17" TargetMode="External" /><Relationship Type="http://schemas.openxmlformats.org/officeDocument/2006/relationships/hyperlink" Id="rId28" Target="https://learn.microsoft.com/en-us/sql/sql-server/azure-arc/overview?view=sql-server-ver17" TargetMode="External" /><Relationship Type="http://schemas.openxmlformats.org/officeDocument/2006/relationships/hyperlink" Id="rId16" Target="https://learn.microsoft.com/en-us/sql/t-sql/statements/create-login-transact-sql?view=sql-server-ver17" TargetMode="External" /><Relationship Type="http://schemas.openxmlformats.org/officeDocument/2006/relationships/hyperlink" Id="rId30" Target="https://www.silverfort.com/blog/customer-case-study-preventing-ntlm-based-lateral-movement-with-silverf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learn.microsoft.com/en-us/azure/azure-arc/servers/overview" TargetMode="External" /><Relationship Type="http://schemas.openxmlformats.org/officeDocument/2006/relationships/hyperlink" Id="rId25" Target="https://learn.microsoft.com/en-us/entra/identity/conditional-access/overview" TargetMode="External" /><Relationship Type="http://schemas.openxmlformats.org/officeDocument/2006/relationships/hyperlink" Id="rId33" Target="https://learn.microsoft.com/en-us/sql/database-engine/configure-windows/change-server-authentication-mode?view=sql-server-ver17" TargetMode="External" /><Relationship Type="http://schemas.openxmlformats.org/officeDocument/2006/relationships/hyperlink" Id="rId22" Target="https://learn.microsoft.com/en-us/sql/relational-databases/system-catalog-views/sys-server-principals-transact-sql?view=sql-server-ver17" TargetMode="External" /><Relationship Type="http://schemas.openxmlformats.org/officeDocument/2006/relationships/hyperlink" Id="rId37" Target="https://learn.microsoft.com/en-us/sql/sql-server/azure-arc/disable-sql-authentication?view=sql-server-ver17" TargetMode="External" /><Relationship Type="http://schemas.openxmlformats.org/officeDocument/2006/relationships/hyperlink" Id="rId28" Target="https://learn.microsoft.com/en-us/sql/sql-server/azure-arc/overview?view=sql-server-ver17" TargetMode="External" /><Relationship Type="http://schemas.openxmlformats.org/officeDocument/2006/relationships/hyperlink" Id="rId16" Target="https://learn.microsoft.com/en-us/sql/t-sql/statements/create-login-transact-sql?view=sql-server-ver17" TargetMode="External" /><Relationship Type="http://schemas.openxmlformats.org/officeDocument/2006/relationships/hyperlink" Id="rId30" Target="https://www.silverfort.com/blog/customer-case-study-preventing-ntlm-based-lateral-movement-with-silverf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Engine-Authentication Decision Settles</dc:title>
  <dc:creator/>
  <cp:keywords/>
  <dcterms:created xsi:type="dcterms:W3CDTF">2026-10-19T10:09:26Z</dcterms:created>
  <dcterms:modified xsi:type="dcterms:W3CDTF">2026-10-19T10:09:26Z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05</vt:lpwstr>
  </property>
  <property fmtid="{D5CDD505-2E9C-101B-9397-08002B2CF9AE}" pid="5" name="doc-type">
    <vt:lpwstr>sql-server-narrative-chapter</vt:lpwstr>
  </property>
  <property fmtid="{D5CDD505-2E9C-101B-9397-08002B2CF9AE}" pid="6" name="family">
    <vt:lpwstr>sql-server-narrative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2</vt:lpwstr>
  </property>
  <property fmtid="{D5CDD505-2E9C-101B-9397-08002B2CF9AE}" pid="14" name="status">
    <vt:lpwstr>draft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