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svg" ContentType="image/svg+xml"/>
  <Override PartName="/word/media/rId27.svg" ContentType="image/svg+xml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Groups, Roles, and How Membership Reaches the Engine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8" w:name="X6ebb6b40a392896cc59dde5bb2fdc7378b8d828"/>
    <w:p>
      <w:pPr>
        <w:pStyle w:val="Heading1"/>
      </w:pPr>
      <w:r>
        <w:t xml:space="preserve">Chapter 1 — Groups, Roles, and How Membership Reaches the Engine</w:t>
      </w:r>
    </w:p>
    <w:p>
      <w:pPr>
        <w:pStyle w:val="FirstParagraph"/>
      </w:pPr>
      <w:r>
        <w:rPr>
          <w:i/>
          <w:iCs/>
        </w:rPr>
        <w:t xml:space="preserve">Group-based authorization survives the migration. Its plumbing, its timing, and its outer boundary do not.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How an Entra security group becomes a SQL Server login and a database role member. Why each group should grant exactly one role. Why the group model should stay flat. When a membership change actually takes effect at the engine. How the four kinds of AD group found in a SQL Server estate migrate. Why Conditional Access becomes the outer perimeter once every login is Entra-backed.</w:t>
            </w:r>
            <w:r>
              <w:rPr>
                <w:rStyle w:val="FootnoteReference"/>
              </w:rPr>
              <w:footnoteReference w:id="12"/>
            </w:r>
          </w:p>
          <w:p/>
        </w:tc>
      </w:tr>
    </w:tbl>
    <w:p>
      <w:pPr>
        <w:pStyle w:val="BodyText"/>
      </w:pPr>
      <w:r>
        <w:t xml:space="preserve">SQL Server’s access model has two halves: roles and permissions inside the engine, and the directory outside it that decides group membership. For twenty years the outside half was Active Directory: a DBA mapped</w:t>
      </w:r>
      <w:r>
        <w:t xml:space="preserve"> </w:t>
      </w:r>
      <w:r>
        <w:rPr>
          <w:rStyle w:val="VerbatimChar"/>
        </w:rPr>
        <w:t xml:space="preserve">DOMAIN\SQL-Reporting-Readers</w:t>
      </w:r>
      <w:r>
        <w:t xml:space="preserve"> </w:t>
      </w:r>
      <w:r>
        <w:t xml:space="preserve">to a login and role, and whoever controlled that AD group controlled access.</w:t>
      </w:r>
    </w:p>
    <w:p>
      <w:pPr>
        <w:pStyle w:val="BodyText"/>
      </w:pPr>
      <w:r>
        <w:t xml:space="preserve">The transformation replaces the outside half and leaves the inside nearly untouched. Roles,</w:t>
      </w:r>
      <w:r>
        <w:t xml:space="preserve"> </w:t>
      </w:r>
      <w:r>
        <w:rPr>
          <w:rStyle w:val="VerbatimChar"/>
        </w:rPr>
        <w:t xml:space="preserve">GRANT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DENY</w:t>
      </w:r>
      <w:r>
        <w:t xml:space="preserve">, ownership chains, and module signing work as before. What changes is the principal (an Entra group), the proof of membership (an Entra token, not a Kerberos ticket), and when a membership change takes effect.</w:t>
      </w:r>
    </w:p>
    <w:bookmarkStart w:id="22" w:name="Xe946cde27a2ef74118946f6a3afb16f513b40b9"/>
    <w:p>
      <w:pPr>
        <w:pStyle w:val="Heading2"/>
      </w:pPr>
      <w:r>
        <w:t xml:space="preserve">How an Entra Group Becomes SQL Server Access</w:t>
      </w:r>
    </w:p>
    <w:p>
      <w:pPr>
        <w:pStyle w:val="CaptionedFigure"/>
      </w:pPr>
      <w:r>
        <w:drawing>
          <wp:inline>
            <wp:extent cx="5334000" cy="4099352"/>
            <wp:effectExtent b="0" l="0" r="0" t="0"/>
            <wp:docPr descr="How one Entra group becomes exactly one database role." title="" id="15" name="Picture"/>
            <a:graphic>
              <a:graphicData uri="http://schemas.openxmlformats.org/drawingml/2006/picture">
                <pic:pic>
                  <pic:nvPicPr>
                    <pic:cNvPr descr="../../images/sql-server/diagrams/svg/book-07-ch01-group-to-login-mapping.svg" id="1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9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How one Entra group becomes exactly one database role.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Established in Book 05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rStyle w:val="VerbatimChar"/>
              </w:rPr>
              <w:t xml:space="preserve">CREATE LOGIN … FROM EXTERNAL PROVIDER</w:t>
            </w:r>
            <w:r>
              <w:t xml:space="preserve"> </w:t>
            </w:r>
            <w:r>
              <w:t xml:space="preserve">creates type-E logins for Entra users and applications and type-X (</w:t>
            </w:r>
            <w:r>
              <w:rPr>
                <w:rStyle w:val="VerbatimChar"/>
              </w:rPr>
              <w:t xml:space="preserve">EXTERNAL_GROUP</w:t>
            </w:r>
            <w:r>
              <w:t xml:space="preserve">) logins for groups.</w:t>
            </w:r>
          </w:p>
          <w:p/>
        </w:tc>
      </w:tr>
    </w:tbl>
    <w:p>
      <w:pPr>
        <w:pStyle w:val="BodyText"/>
      </w:pPr>
      <w:r>
        <w:t xml:space="preserve">A group enters SQL Server as an AD group did, as a server login created by display name, then a database user (</w:t>
      </w:r>
      <w:r>
        <w:rPr>
          <w:rStyle w:val="VerbatimChar"/>
        </w:rPr>
        <w:t xml:space="preserve">CREATE USER … FROM LOGIN</w:t>
      </w:r>
      <w:r>
        <w:t xml:space="preserve">) added to a role. Book 09’s continuous audit must count type X as well as type E, because group logins are where most access should live.</w:t>
      </w:r>
    </w:p>
    <w:p>
      <w:pPr>
        <w:pStyle w:val="BodyText"/>
      </w:pPr>
      <w:r>
        <w:t xml:space="preserve">The instance’s Microsoft Entra administrator receives</w:t>
      </w:r>
      <w:r>
        <w:t xml:space="preserve"> </w:t>
      </w:r>
      <w:r>
        <w:rPr>
          <w:rStyle w:val="VerbatimChar"/>
        </w:rPr>
        <w:t xml:space="preserve">sysadmin</w:t>
      </w:r>
      <w:r>
        <w:t xml:space="preserve"> </w:t>
      </w:r>
      <w:r>
        <w:t xml:space="preserve">and, in any sizable estate, should be a group (Chapter 2). The instance’s Entra identity needs Microsoft Graph</w:t>
      </w:r>
      <w:r>
        <w:t xml:space="preserve"> </w:t>
      </w:r>
      <w:r>
        <w:rPr>
          <w:rStyle w:val="VerbatimChar"/>
        </w:rPr>
        <w:t xml:space="preserve">User.Read.All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GroupMember.Read.All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Application.Read.All</w:t>
      </w:r>
      <w:r>
        <w:t xml:space="preserve">,</w:t>
      </w:r>
      <w:r>
        <w:rPr>
          <w:rStyle w:val="FootnoteReference"/>
        </w:rPr>
        <w:footnoteReference w:id="20"/>
      </w:r>
      <w:r>
        <w:t xml:space="preserve"> </w:t>
      </w:r>
      <w:r>
        <w:t xml:space="preserve">granted by a Privileged Role Administrator: an identity-team step, not a DBA step.</w:t>
      </w:r>
    </w:p>
    <w:p>
      <w:pPr>
        <w:pStyle w:val="SourceCode"/>
      </w:pPr>
      <w:r>
        <w:rPr>
          <w:rStyle w:val="CommentTok"/>
        </w:rPr>
        <w:t xml:space="preserve">-- Instance level: one login per Entra group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LOGIN [SQL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PRD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FIN01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Ledger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Reader]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EXTERNAL PROVIDER;</w:t>
      </w:r>
      <w:r>
        <w:br/>
      </w:r>
      <w:r>
        <w:br/>
      </w:r>
      <w:r>
        <w:rPr>
          <w:rStyle w:val="CommentTok"/>
        </w:rPr>
        <w:t xml:space="preserve">-- Database level: the group becomes a member of exactly one role</w:t>
      </w:r>
      <w:r>
        <w:br/>
      </w:r>
      <w:r>
        <w:rPr>
          <w:rStyle w:val="KeywordTok"/>
        </w:rPr>
        <w:t xml:space="preserve">USE</w:t>
      </w:r>
      <w:r>
        <w:rPr>
          <w:rStyle w:val="NormalTok"/>
        </w:rPr>
        <w:t xml:space="preserve"> Ledger;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USER</w:t>
      </w:r>
      <w:r>
        <w:rPr>
          <w:rStyle w:val="NormalTok"/>
        </w:rPr>
        <w:t xml:space="preserve"> [SQL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PRD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FIN01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Ledger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Reader]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LOGIN [SQL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PRD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FIN01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Ledger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Reader];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ledger_reader </w:t>
      </w:r>
      <w:r>
        <w:rPr>
          <w:rStyle w:val="KeywordTok"/>
        </w:rPr>
        <w:t xml:space="preserve">ADD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MEMBER</w:t>
      </w:r>
      <w:r>
        <w:rPr>
          <w:rStyle w:val="NormalTok"/>
        </w:rPr>
        <w:t xml:space="preserve"> [SQL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PRD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FIN01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Ledger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Reader];</w:t>
      </w:r>
    </w:p>
    <w:p>
      <w:pPr>
        <w:pStyle w:val="FirstParagraph"/>
      </w:pPr>
      <w:r>
        <w:t xml:space="preserve">The Implementation Companion carries the full runbook. Authorization inside the engine is not redesigned; only the principal changes.</w:t>
      </w:r>
    </w:p>
    <w:bookmarkEnd w:id="22"/>
    <w:bookmarkStart w:id="25" w:name="one-group-one-role"/>
    <w:p>
      <w:pPr>
        <w:pStyle w:val="Heading2"/>
      </w:pPr>
      <w:r>
        <w:t xml:space="preserve">One Group, One Role</w:t>
      </w:r>
    </w:p>
    <w:p>
      <w:pPr>
        <w:pStyle w:val="FirstParagraph"/>
      </w:pPr>
      <w:r>
        <w:t xml:space="preserve">The most consequential design decision in this book is the simplest:</w:t>
      </w:r>
      <w:r>
        <w:t xml:space="preserve"> </w:t>
      </w:r>
      <w:r>
        <w:rPr>
          <w:b/>
          <w:bCs/>
        </w:rPr>
        <w:t xml:space="preserve">each Entra group grants exactly one role, on one database, in one environment.</w:t>
      </w:r>
      <w:r>
        <w:t xml:space="preserve"> </w:t>
      </w:r>
      <w:r>
        <w:t xml:space="preserve">A user who reads the ledger and runs the month-end job belongs to two groups.</w:t>
      </w:r>
    </w:p>
    <w:p>
      <w:pPr>
        <w:pStyle w:val="BodyText"/>
      </w:pPr>
      <w:r>
        <w:t xml:space="preserve">The rule pays off three ways. The group name fully states what it grants, so an access review can be answered without opening SQL Server Management Studio.</w:t>
      </w:r>
      <w:r>
        <w:rPr>
          <w:rStyle w:val="FootnoteReference"/>
        </w:rPr>
        <w:footnoteReference w:id="23"/>
      </w:r>
      <w:r>
        <w:t xml:space="preserve"> </w:t>
      </w:r>
      <w:r>
        <w:t xml:space="preserve">Revoking one capability never revokes another. And dynamic membership becomes tractable:</w:t>
      </w:r>
      <w:r>
        <w:t xml:space="preserve"> </w:t>
      </w:r>
      <w:r>
        <w:t xml:space="preserve">“who should read the ledger?”</w:t>
      </w:r>
      <w:r>
        <w:t xml:space="preserve"> </w:t>
      </w:r>
      <w:r>
        <w:t xml:space="preserve">can be written as a rule;</w:t>
      </w:r>
      <w:r>
        <w:t xml:space="preserve"> </w:t>
      </w:r>
      <w:r>
        <w:t xml:space="preserve">“whoever this legacy group happened to include”</w:t>
      </w:r>
      <w:r>
        <w:t xml:space="preserve"> </w:t>
      </w:r>
      <w:r>
        <w:t xml:space="preserve">cannot.</w:t>
      </w:r>
    </w:p>
    <w:p>
      <w:pPr>
        <w:pStyle w:val="BodyText"/>
      </w:pPr>
      <w:r>
        <w:t xml:space="preserve">Permissions go to user-defined database roles, never directly to group users, and</w:t>
      </w:r>
      <w:r>
        <w:t xml:space="preserve"> </w:t>
      </w:r>
      <w:r>
        <w:rPr>
          <w:rStyle w:val="VerbatimChar"/>
        </w:rPr>
        <w:t xml:space="preserve">db_owner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sysadmin</w:t>
      </w:r>
      <w:r>
        <w:t xml:space="preserve"> </w:t>
      </w:r>
      <w:r>
        <w:t xml:space="preserve">are kept for the few who need them. Every legacy group mapped to</w:t>
      </w:r>
      <w:r>
        <w:t xml:space="preserve"> </w:t>
      </w:r>
      <w:r>
        <w:rPr>
          <w:rStyle w:val="VerbatimChar"/>
        </w:rPr>
        <w:t xml:space="preserve">db_owner</w:t>
      </w:r>
      <w:r>
        <w:t xml:space="preserve"> </w:t>
      </w:r>
      <w:r>
        <w:t xml:space="preserve">“because the application needed it”</w:t>
      </w:r>
      <w:r>
        <w:t xml:space="preserve"> </w:t>
      </w:r>
      <w:r>
        <w:t xml:space="preserve">is a finding to resolve before its replacement is created.</w:t>
      </w:r>
    </w:p>
    <w:bookmarkEnd w:id="25"/>
    <w:bookmarkStart w:id="26" w:name="flat-by-design"/>
    <w:p>
      <w:pPr>
        <w:pStyle w:val="Heading2"/>
      </w:pPr>
      <w:r>
        <w:t xml:space="preserve">Flat by Design</w:t>
      </w:r>
    </w:p>
    <w:p>
      <w:pPr>
        <w:pStyle w:val="FirstParagraph"/>
      </w:pPr>
      <w:r>
        <w:t xml:space="preserve">AD estates are full of nested groups. Don’t rebuild that tree in Entra ID; the platform’s constraints point to a flat model.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Dynamic groups can’t contain groups.</w:t>
      </w:r>
      <w:r>
        <w:t xml:space="preserve"> </w:t>
      </w:r>
      <w:r>
        <w:t xml:space="preserve">A dynamic rule selects users (or devices) by attribute, never other groups.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memberOf</w:t>
      </w:r>
      <w:r>
        <w:rPr>
          <w:b/>
          <w:bCs/>
        </w:rPr>
        <w:t xml:space="preserve"> </w:t>
      </w:r>
      <w:r>
        <w:rPr>
          <w:b/>
          <w:bCs/>
        </w:rPr>
        <w:t xml:space="preserve">operator is ending.</w:t>
      </w:r>
      <w:r>
        <w:t xml:space="preserve"> </w:t>
      </w:r>
      <w:r>
        <w:t xml:space="preserve">It was the preview workaround for building a dynamic group from other groups. Microsoft has announced that its public preview ends on 3 November 2026. After that date, groups that use it stop updating and stay in their last-known state.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Role-assignable groups can’t nest.</w:t>
      </w:r>
      <w:r>
        <w:t xml:space="preserve"> </w:t>
      </w:r>
      <w:r>
        <w:t xml:space="preserve">These are the groups with the strongest protection against privilege escalation, and they accept no group members at all.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Group claims are capped.</w:t>
      </w:r>
      <w:r>
        <w:t xml:space="preserve"> </w:t>
      </w:r>
      <w:r>
        <w:t xml:space="preserve">Applications that read group membership straight from the token get at most 200 groups in a JWT, and above that receive an overage indicator instead of the list.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Nested-group evaluation is undocumented for SQL Server.</w:t>
      </w:r>
      <w:r>
        <w:t xml:space="preserve"> </w:t>
      </w:r>
      <w:r>
        <w:t xml:space="preserve">Microsoft’s SQL Server documentation doesn’t describe how nested Entra group membership is evaluated for an on-premises instance’s group logins.</w:t>
      </w:r>
    </w:p>
    <w:p>
      <w:pPr>
        <w:pStyle w:val="FirstParagraph"/>
      </w:pPr>
      <w:r>
        <w:t xml:space="preserve">Nesting builds on behavior that is unsupported, ending, or undocumented. A flat model costs a few more groups and gives up nothing: each role-mapped group lists members directly, by rule or assignment, and several populations needing one role share one rule. Where a nested chain is unavoidable, test it on the target instance version first.</w:t>
      </w:r>
    </w:p>
    <w:bookmarkEnd w:id="26"/>
    <w:bookmarkStart w:id="30" w:name="when-a-change-takes-effect"/>
    <w:p>
      <w:pPr>
        <w:pStyle w:val="Heading2"/>
      </w:pPr>
      <w:r>
        <w:t xml:space="preserve">When a Change Takes Effect</w:t>
      </w:r>
    </w:p>
    <w:p>
      <w:pPr>
        <w:pStyle w:val="CaptionedFigure"/>
      </w:pPr>
      <w:r>
        <w:drawing>
          <wp:inline>
            <wp:extent cx="5334000" cy="2349418"/>
            <wp:effectExtent b="0" l="0" r="0" t="0"/>
            <wp:docPr descr="The chain between an HR change and the engine, and the urgent path that doesn’t wait for it." title="" id="28" name="Picture"/>
            <a:graphic>
              <a:graphicData uri="http://schemas.openxmlformats.org/drawingml/2006/picture">
                <pic:pic>
                  <pic:nvPicPr>
                    <pic:cNvPr descr="../../images/sql-server/diagrams/svg/book-07-ch01-when-a-change-takes-effect.svg" id="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94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chain between an HR change and the engine, and the urgent path that doesn’t wait for it.</w:t>
      </w:r>
    </w:p>
    <w:p>
      <w:pPr>
        <w:pStyle w:val="BodyText"/>
      </w:pPr>
      <w:r>
        <w:t xml:space="preserve">Under Windows Authentication a membership change arrived with the next Kerberos ticket, usually the next logon. The Entra chain is longer: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Rule processing.</w:t>
      </w:r>
      <w:r>
        <w:t xml:space="preserve"> </w:t>
      </w:r>
      <w:r>
        <w:t xml:space="preserve">A dynamic group is recalculated when a relevant attribute changes. Microsoft documents that this usually completes within a few hours, but that it can take more than 24 hours in large tenants, after bulk changes, or with complex rules.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Token lifetime.</w:t>
      </w:r>
      <w:r>
        <w:t xml:space="preserve"> </w:t>
      </w:r>
      <w:r>
        <w:t xml:space="preserve">An access token already issued to the user stays valid until it expires. By default that’s a randomized 60 to 90 minutes.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Session and pool lifetime.</w:t>
      </w:r>
      <w:r>
        <w:t xml:space="preserve"> </w:t>
      </w:r>
      <w:r>
        <w:t xml:space="preserve">An open SQL Server session keeps the security context it was established with. A connection pool can keep that session open for hours.</w:t>
      </w:r>
    </w:p>
    <w:p>
      <w:pPr>
        <w:pStyle w:val="FirstParagraph"/>
      </w:pPr>
      <w:r>
        <w:t xml:space="preserve">That latency is acceptable for routine joiners, movers, and leavers, and often beats the ticket queue it replaces. Urgent removal doesn’t wait for a rule: disable the Entra account, revoke the user’s sign-in sessions, and end the user’s SQL Server sessions (</w:t>
      </w:r>
      <w:r>
        <w:rPr>
          <w:rStyle w:val="VerbatimChar"/>
        </w:rPr>
        <w:t xml:space="preserve">KILL</w:t>
      </w:r>
      <w:r>
        <w:t xml:space="preserve">, or disabling the individual or group login if the threat is broader). Write this path into the operations runbook before the first dynamic group grants production access.</w:t>
      </w:r>
    </w:p>
    <w:bookmarkEnd w:id="30"/>
    <w:bookmarkStart w:id="31" w:name="migrating-the-four-ad-group-patterns"/>
    <w:p>
      <w:pPr>
        <w:pStyle w:val="Heading2"/>
      </w:pPr>
      <w:r>
        <w:t xml:space="preserve">Migrating the Four AD Group Patterns</w:t>
      </w:r>
    </w:p>
    <w:p>
      <w:pPr>
        <w:pStyle w:val="FirstParagraph"/>
      </w:pPr>
      <w:r>
        <w:t xml:space="preserve">Groups in a long-lived SQL Server estate fall into four patterns: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Organization-derived access groups</w:t>
      </w:r>
      <w:r>
        <w:t xml:space="preserve">, kept in step with the org chart by hand, become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groups whose rules read HR-maintained attributes such as</w:t>
      </w:r>
      <w:r>
        <w:t xml:space="preserve"> </w:t>
      </w:r>
      <w:r>
        <w:rPr>
          <w:rStyle w:val="VerbatimChar"/>
        </w:rPr>
        <w:t xml:space="preserve">department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jobTitle</w:t>
      </w:r>
      <w:r>
        <w:t xml:space="preserve">, an</w:t>
      </w:r>
      <w:r>
        <w:t xml:space="preserve"> </w:t>
      </w:r>
      <w:r>
        <w:rPr>
          <w:rStyle w:val="VerbatimChar"/>
        </w:rPr>
        <w:t xml:space="preserve">extensionAttribute</w:t>
      </w:r>
      <w:r>
        <w:t xml:space="preserve">, or a directory extension property (Chapter 2).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Explicit role-assignment groups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PROD-SQL-SYSADMIN</w:t>
      </w:r>
      <w:r>
        <w:t xml:space="preserve"> </w:t>
      </w:r>
      <w:r>
        <w:t xml:space="preserve">reflect specific people given a specific permission, so no rule should define them. They become flattened</w:t>
      </w:r>
      <w:r>
        <w:t xml:space="preserve"> </w:t>
      </w:r>
      <w:r>
        <w:rPr>
          <w:b/>
          <w:bCs/>
        </w:rPr>
        <w:t xml:space="preserve">assigned</w:t>
      </w:r>
      <w:r>
        <w:t xml:space="preserve"> </w:t>
      </w:r>
      <w:r>
        <w:t xml:space="preserve">groups managed by a delegated administrator or, for privileged roles, PIM (Chapter 2).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Distribution lists</w:t>
      </w:r>
      <w:r>
        <w:t xml:space="preserve"> </w:t>
      </w:r>
      <w:r>
        <w:t xml:space="preserve">for SQL Server Agent notifications become mail-only groups; the operator address is updated and no login is created.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Mail-enabled security groups</w:t>
      </w:r>
      <w:r>
        <w:t xml:space="preserve"> </w:t>
      </w:r>
      <w:r>
        <w:t xml:space="preserve">split into a mail-only group and an assigned security group, with the pairing recorded in both descriptions and the migration record.</w:t>
      </w:r>
    </w:p>
    <w:bookmarkEnd w:id="31"/>
    <w:bookmarkStart w:id="36" w:name="X6698b83cb7ff9872efbdad97cc788427b8fc0b4"/>
    <w:p>
      <w:pPr>
        <w:pStyle w:val="Heading2"/>
      </w:pPr>
      <w:r>
        <w:t xml:space="preserve">Conditional Access as the Outer Perimeter</w:t>
      </w:r>
    </w:p>
    <w:p>
      <w:pPr>
        <w:pStyle w:val="FirstParagraph"/>
      </w:pPr>
      <w:r>
        <w:t xml:space="preserve">Once every login is Entra-backed, every connection needs a token and every token request passes Conditional Access. A non-compliant device, a sign-in outside named locations, or a high-risk sign-in is refused a token, so the connection never opens.</w:t>
      </w:r>
      <w:r>
        <w:rPr>
          <w:rStyle w:val="FootnoteReference"/>
        </w:rPr>
        <w:footnoteReference w:id="32"/>
      </w:r>
    </w:p>
    <w:p>
      <w:pPr>
        <w:pStyle w:val="BodyText"/>
      </w:pPr>
      <w:r>
        <w:t xml:space="preserve">None of this reaches a Windows or SQL-authenticated login, so the perimeter is binary: one surviving Windows login bypasses every policy. Privileged-access workstations, bastions, segmentation, and vaulting are legitimate interim controls, but none evaluates identity, device, and risk per connection. Book 05 therefore treats each surviving legacy login as a documented, sunset-dated exception.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Book 07 establishes — Chapter 1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An Entra group reaches SQL Server as a type-X login and grants exactly one role, on one database, in one environment.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group model stays flat, and membership changes reach the engine only after rule processing, token expiry and session turnover, so urgent removal needs its own runbook.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Each kind of AD group maps to a specific Entra replacement, and Conditional Access then sits in front of every login.</w:t>
            </w:r>
          </w:p>
          <w:p/>
        </w:tc>
      </w:tr>
    </w:tbl>
    <w:bookmarkEnd w:id="36"/>
    <w:bookmarkStart w:id="47" w:name="authoritative-references"/>
    <w:p>
      <w:pPr>
        <w:pStyle w:val="Heading2"/>
      </w:pPr>
      <w:r>
        <w:t xml:space="preserve">Authoritative references</w:t>
      </w:r>
    </w:p>
    <w:p>
      <w:pPr>
        <w:pStyle w:val="Compact"/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CREATE LOGIN — Microsoft Entra group logins</w:t>
        </w:r>
      </w:hyperlink>
      <w:r>
        <w:t xml:space="preserve"> </w:t>
      </w:r>
      <w:r>
        <w:t xml:space="preserve">and</w:t>
      </w:r>
      <w:r>
        <w:t xml:space="preserve"> </w:t>
      </w:r>
      <w:hyperlink r:id="rId38">
        <w:r>
          <w:rPr>
            <w:rStyle w:val="Hyperlink"/>
          </w:rPr>
          <w:t xml:space="preserve">sys.server_principals principal types</w:t>
        </w:r>
      </w:hyperlink>
    </w:p>
    <w:p>
      <w:pPr>
        <w:pStyle w:val="Compact"/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Set up Microsoft Entra authentication for SQL Server enabled by Azure Arc</w:t>
        </w:r>
      </w:hyperlink>
      <w:r>
        <w:t xml:space="preserve"> </w:t>
      </w:r>
      <w:r>
        <w:t xml:space="preserve">and</w:t>
      </w:r>
      <w:r>
        <w:t xml:space="preserve"> </w:t>
      </w:r>
      <w:hyperlink r:id="rId40">
        <w:r>
          <w:rPr>
            <w:rStyle w:val="Hyperlink"/>
          </w:rPr>
          <w:t xml:space="preserve">Managed identity for SQL Server enabled by Azure Arc</w:t>
        </w:r>
      </w:hyperlink>
      <w:r>
        <w:t xml:space="preserve"> </w:t>
      </w:r>
      <w:r>
        <w:t xml:space="preserve">(Graph permissions)</w:t>
      </w:r>
    </w:p>
    <w:p>
      <w:pPr>
        <w:pStyle w:val="Compact"/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Rules for dynamic membership groups</w:t>
        </w:r>
      </w:hyperlink>
      <w:r>
        <w:t xml:space="preserve"> </w:t>
      </w:r>
      <w:r>
        <w:t xml:space="preserve">and</w:t>
      </w:r>
      <w:r>
        <w:t xml:space="preserve"> </w:t>
      </w:r>
      <w:hyperlink r:id="rId42">
        <w:r>
          <w:rPr>
            <w:rStyle w:val="Hyperlink"/>
          </w:rPr>
          <w:t xml:space="preserve">the memberOf preview and its end date</w:t>
        </w:r>
      </w:hyperlink>
    </w:p>
    <w:p>
      <w:pPr>
        <w:pStyle w:val="Compact"/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Role-assignable groups</w:t>
        </w:r>
      </w:hyperlink>
      <w:r>
        <w:t xml:space="preserve"> </w:t>
      </w:r>
      <w:r>
        <w:t xml:space="preserve">and</w:t>
      </w:r>
      <w:r>
        <w:t xml:space="preserve"> </w:t>
      </w:r>
      <w:hyperlink r:id="rId44">
        <w:r>
          <w:rPr>
            <w:rStyle w:val="Hyperlink"/>
          </w:rPr>
          <w:t xml:space="preserve">group claims limits</w:t>
        </w:r>
      </w:hyperlink>
    </w:p>
    <w:p>
      <w:pPr>
        <w:pStyle w:val="Compact"/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Dynamic group processing times</w:t>
        </w:r>
      </w:hyperlink>
      <w:r>
        <w:t xml:space="preserve"> </w:t>
      </w:r>
      <w:r>
        <w:t xml:space="preserve">and</w:t>
      </w:r>
      <w:r>
        <w:t xml:space="preserve"> </w:t>
      </w:r>
      <w:hyperlink r:id="rId46">
        <w:r>
          <w:rPr>
            <w:rStyle w:val="Hyperlink"/>
          </w:rPr>
          <w:t xml:space="preserve">access token lifetimes</w:t>
        </w:r>
      </w:hyperlink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13">
        <w:r>
          <w:rPr>
            <w:rStyle w:val="Hyperlink"/>
          </w:rPr>
          <w:t xml:space="preserve">What is Conditional Access?</w:t>
        </w:r>
      </w:hyperlink>
      <w:r>
        <w:t xml:space="preserve">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1">
        <w:r>
          <w:rPr>
            <w:rStyle w:val="Hyperlink"/>
          </w:rPr>
          <w:t xml:space="preserve">Set up managed identity and Microsoft Entra authentication for SQL Server enabled by Azure Arc</w:t>
        </w:r>
      </w:hyperlink>
      <w:r>
        <w:t xml:space="preserve">.</w:t>
      </w:r>
    </w:p>
  </w:footnote>
  <w:footnote w:id="2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24">
        <w:r>
          <w:rPr>
            <w:rStyle w:val="Hyperlink"/>
          </w:rPr>
          <w:t xml:space="preserve">What are access reviews?</w:t>
        </w:r>
      </w:hyperlink>
      <w:r>
        <w:t xml:space="preserve">.</w:t>
      </w:r>
    </w:p>
  </w:footnote>
  <w:footnote w:id="3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Microsoft Learn,</w:t>
      </w:r>
      <w:r>
        <w:t xml:space="preserve"> </w:t>
      </w:r>
      <w:hyperlink r:id="rId33">
        <w:r>
          <w:rPr>
            <w:rStyle w:val="Hyperlink"/>
          </w:rPr>
          <w:t xml:space="preserve">What is Microsoft Entra ID Protection?</w:t>
        </w:r>
      </w:hyperlink>
      <w:r>
        <w:t xml:space="preserve">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svg" /><Relationship Type="http://schemas.openxmlformats.org/officeDocument/2006/relationships/image" Id="rId27" Target="media/rId27.sv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24" Target="https://learn.microsoft.com/en-us/entra/id-governance/access-reviews-overview" TargetMode="External" /><Relationship Type="http://schemas.openxmlformats.org/officeDocument/2006/relationships/hyperlink" Id="rId33" Target="https://learn.microsoft.com/en-us/entra/id-protection/overview-identity-protection" TargetMode="External" /><Relationship Type="http://schemas.openxmlformats.org/officeDocument/2006/relationships/hyperlink" Id="rId46" Target="https://learn.microsoft.com/en-us/entra/identity-platform/configurable-token-lifetimes" TargetMode="External" /><Relationship Type="http://schemas.openxmlformats.org/officeDocument/2006/relationships/hyperlink" Id="rId13" Target="https://learn.microsoft.com/en-us/entra/identity/conditional-access/overview" TargetMode="External" /><Relationship Type="http://schemas.openxmlformats.org/officeDocument/2006/relationships/hyperlink" Id="rId44" Target="https://learn.microsoft.com/en-us/entra/identity/hybrid/connect/how-to-connect-fed-group-claims" TargetMode="External" /><Relationship Type="http://schemas.openxmlformats.org/officeDocument/2006/relationships/hyperlink" Id="rId43" Target="https://learn.microsoft.com/en-us/entra/identity/role-based-access-control/groups-concept" TargetMode="External" /><Relationship Type="http://schemas.openxmlformats.org/officeDocument/2006/relationships/hyperlink" Id="rId41" Target="https://learn.microsoft.com/en-us/entra/identity/users/groups-dynamic-membership" TargetMode="External" /><Relationship Type="http://schemas.openxmlformats.org/officeDocument/2006/relationships/hyperlink" Id="rId42" Target="https://learn.microsoft.com/en-us/entra/identity/users/groups-dynamic-rule-member-of" TargetMode="External" /><Relationship Type="http://schemas.openxmlformats.org/officeDocument/2006/relationships/hyperlink" Id="rId45" Target="https://learn.microsoft.com/en-us/entra/identity/users/manage-dynamic-group" TargetMode="External" /><Relationship Type="http://schemas.openxmlformats.org/officeDocument/2006/relationships/hyperlink" Id="rId38" Target="https://learn.microsoft.com/en-us/sql/relational-databases/system-catalog-views/sys-server-principals-transact-sql?view=sql-server-ver17" TargetMode="External" /><Relationship Type="http://schemas.openxmlformats.org/officeDocument/2006/relationships/hyperlink" Id="rId39" Target="https://learn.microsoft.com/en-us/sql/sql-server/azure-arc/entra-authentication-setup-tutorial?view=sql-server-ver17" TargetMode="External" /><Relationship Type="http://schemas.openxmlformats.org/officeDocument/2006/relationships/hyperlink" Id="rId40" Target="https://learn.microsoft.com/en-us/sql/sql-server/azure-arc/managed-identity?view=sql-server-ver17" TargetMode="External" /><Relationship Type="http://schemas.openxmlformats.org/officeDocument/2006/relationships/hyperlink" Id="rId21" Target="https://learn.microsoft.com/en-us/sql/sql-server/azure-arc/microsoft-entra-authentication-with-managed-identity?view=sql-server-ver17" TargetMode="External" /><Relationship Type="http://schemas.openxmlformats.org/officeDocument/2006/relationships/hyperlink" Id="rId37" Target="https://learn.microsoft.com/en-us/sql/t-sql/statements/create-login-transact-sql?view=sql-server-ver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learn.microsoft.com/en-us/entra/id-governance/access-reviews-overview" TargetMode="External" /><Relationship Type="http://schemas.openxmlformats.org/officeDocument/2006/relationships/hyperlink" Id="rId33" Target="https://learn.microsoft.com/en-us/entra/id-protection/overview-identity-protection" TargetMode="External" /><Relationship Type="http://schemas.openxmlformats.org/officeDocument/2006/relationships/hyperlink" Id="rId46" Target="https://learn.microsoft.com/en-us/entra/identity-platform/configurable-token-lifetimes" TargetMode="External" /><Relationship Type="http://schemas.openxmlformats.org/officeDocument/2006/relationships/hyperlink" Id="rId13" Target="https://learn.microsoft.com/en-us/entra/identity/conditional-access/overview" TargetMode="External" /><Relationship Type="http://schemas.openxmlformats.org/officeDocument/2006/relationships/hyperlink" Id="rId44" Target="https://learn.microsoft.com/en-us/entra/identity/hybrid/connect/how-to-connect-fed-group-claims" TargetMode="External" /><Relationship Type="http://schemas.openxmlformats.org/officeDocument/2006/relationships/hyperlink" Id="rId43" Target="https://learn.microsoft.com/en-us/entra/identity/role-based-access-control/groups-concept" TargetMode="External" /><Relationship Type="http://schemas.openxmlformats.org/officeDocument/2006/relationships/hyperlink" Id="rId41" Target="https://learn.microsoft.com/en-us/entra/identity/users/groups-dynamic-membership" TargetMode="External" /><Relationship Type="http://schemas.openxmlformats.org/officeDocument/2006/relationships/hyperlink" Id="rId42" Target="https://learn.microsoft.com/en-us/entra/identity/users/groups-dynamic-rule-member-of" TargetMode="External" /><Relationship Type="http://schemas.openxmlformats.org/officeDocument/2006/relationships/hyperlink" Id="rId45" Target="https://learn.microsoft.com/en-us/entra/identity/users/manage-dynamic-group" TargetMode="External" /><Relationship Type="http://schemas.openxmlformats.org/officeDocument/2006/relationships/hyperlink" Id="rId38" Target="https://learn.microsoft.com/en-us/sql/relational-databases/system-catalog-views/sys-server-principals-transact-sql?view=sql-server-ver17" TargetMode="External" /><Relationship Type="http://schemas.openxmlformats.org/officeDocument/2006/relationships/hyperlink" Id="rId39" Target="https://learn.microsoft.com/en-us/sql/sql-server/azure-arc/entra-authentication-setup-tutorial?view=sql-server-ver17" TargetMode="External" /><Relationship Type="http://schemas.openxmlformats.org/officeDocument/2006/relationships/hyperlink" Id="rId40" Target="https://learn.microsoft.com/en-us/sql/sql-server/azure-arc/managed-identity?view=sql-server-ver17" TargetMode="External" /><Relationship Type="http://schemas.openxmlformats.org/officeDocument/2006/relationships/hyperlink" Id="rId21" Target="https://learn.microsoft.com/en-us/sql/sql-server/azure-arc/microsoft-entra-authentication-with-managed-identity?view=sql-server-ver17" TargetMode="External" /><Relationship Type="http://schemas.openxmlformats.org/officeDocument/2006/relationships/hyperlink" Id="rId37" Target="https://learn.microsoft.com/en-us/sql/t-sql/statements/create-login-transact-sql?view=sql-server-ver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Groups, Roles, and How Membership Reaches the Engine</dc:title>
  <dc:creator/>
  <cp:keywords/>
  <dcterms:created xsi:type="dcterms:W3CDTF">2026-10-19T10:09:28Z</dcterms:created>
  <dcterms:modified xsi:type="dcterms:W3CDTF">2026-10-19T10:09:28Z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book">
    <vt:lpwstr>07</vt:lpwstr>
  </property>
  <property fmtid="{D5CDD505-2E9C-101B-9397-08002B2CF9AE}" pid="5" name="doc-type">
    <vt:lpwstr>sql-server-narrative-chapter</vt:lpwstr>
  </property>
  <property fmtid="{D5CDD505-2E9C-101B-9397-08002B2CF9AE}" pid="6" name="family">
    <vt:lpwstr>sql-server-narrative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1</vt:lpwstr>
  </property>
  <property fmtid="{D5CDD505-2E9C-101B-9397-08002B2CF9AE}" pid="14" name="status">
    <vt:lpwstr>draft</vt:lpwstr>
  </property>
  <property fmtid="{D5CDD505-2E9C-101B-9397-08002B2CF9AE}" pid="15" name="tiers_adopted">
    <vt:lpwstr/>
  </property>
  <property fmtid="{D5CDD505-2E9C-101B-9397-08002B2CF9AE}" pid="16" name="toc-title">
    <vt:lpwstr>Table of contents</vt:lpwstr>
  </property>
</Properties>
</file>