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20.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2027 Milestone: What Done Looks Like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6" w:name="Xc700372d430a6843d42af7d93cb1321049a7497"/>
    <w:p>
      <w:pPr>
        <w:pStyle w:val="Heading1"/>
      </w:pPr>
      <w:r>
        <w:t xml:space="preserve">Chapter 2 — The 2027 Milestone: What Done Looks Like</w:t>
      </w:r>
    </w:p>
    <w:p>
      <w:pPr>
        <w:pStyle w:val="FirstParagraph"/>
      </w:pPr>
      <w:r>
        <w:rPr>
          <w:i/>
          <w:iCs/>
        </w:rPr>
        <w:t xml:space="preserve">The evidence is not a binder you assemble — it is the live output of the monitoring you never turn off.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six evidence artifact sets that close the SQL Server authentication transformation — and why each is a live output of the continuous monitoring infrastructure rather than a point-in-time document — followed by the correct reading of 2027-04-01: not a migration completion date, but the date the network block is applied, which means the migration must already be complete and the final months reserved for validation.</w:t>
            </w:r>
          </w:p>
          <w:p/>
        </w:tc>
      </w:tr>
    </w:tbl>
    <w:p>
      <w:pPr>
        <w:pStyle w:val="BodyText"/>
      </w:pPr>
      <w:r>
        <w:t xml:space="preserve">The evidence artifacts required to close the SQL Server authentication transformation in the transformation inventory are not a collection of documents produced at a single point in time — they are the live outputs of the continuous monitoring infrastructure described in Chapter 1. A closure claim is only as strong as the monitoring that keeps producing the evidence after the claim is made. This chapter names the artifacts, then places the program’s 2027-04-01 NTLM backstop in its proper operational context.</w:t>
      </w:r>
    </w:p>
    <w:bookmarkStart w:id="19" w:name="the-evidence-artifacts-as-live-outputs"/>
    <w:p>
      <w:pPr>
        <w:pStyle w:val="Heading2"/>
      </w:pPr>
      <w:r>
        <w:t xml:space="preserve">The Evidence Artifacts as Live Outputs</w:t>
      </w:r>
    </w:p>
    <w:p>
      <w:pPr>
        <w:pStyle w:val="CaptionedFigure"/>
      </w:pPr>
      <w:r>
        <w:drawing>
          <wp:inline>
            <wp:extent cx="5334000" cy="2745331"/>
            <wp:effectExtent b="0" l="0" r="0" t="0"/>
            <wp:docPr descr="The six evidence sets are live outputs of continuous monitoring." title="" id="13" name="Picture"/>
            <a:graphic>
              <a:graphicData uri="http://schemas.openxmlformats.org/drawingml/2006/picture">
                <pic:pic>
                  <pic:nvPicPr>
                    <pic:cNvPr descr="../../images/sql-server/diagrams/svg/book-09-ch02-evidence-artifact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 The first is the per-instance compliance record set: a record for every production SQL Server instance in the estate, each showing the Entra-exclusive operational posture — SQL authentication refused, zero usable SQL Authentication logins, zero active Windows-backed logins, the Arc agent enrolled and healthy, and the SQL extension deployed. The SQL Server engine-authentication decision defines the field set these records carry, and the continuous audit keeps them current rather than freezing them at the moment of the claim.</w:t>
      </w:r>
    </w:p>
    <w:p>
      <w:pPr>
        <w:pStyle w:val="BodyText"/>
      </w:pPr>
      <w:r>
        <w:t xml:space="preserve">The second is the Entra ID sign-in log set, showing zero failed token requests attributable to NTLM or Kerberos fallback for SQL Server resource audience tokens over a defined validation period preceding the closure claim.</w:t>
      </w:r>
      <w:r>
        <w:rPr>
          <w:rStyle w:val="FootnoteReference"/>
        </w:rPr>
        <w:footnoteReference w:id="15"/>
      </w:r>
      <w:r>
        <w:t xml:space="preserve"> </w:t>
      </w:r>
      <w:r>
        <w:t xml:space="preserve">The third is the NTLM telemetry — the Windows Security and NTLM operational logs from SQL Server hosts, collected in Log Analytics — showing zero NTLM authentication events over that same validation period —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17"/>
      </w:r>
      <w:r>
        <w:t xml:space="preserve"> </w:t>
      </w:r>
      <w:r>
        <w:t xml:space="preserve">The sixth is the exception registry, showing every currently excepted instance with documented justification, a sunset date, and its own compliance tracking record. When all six artifact sets are simultaneously satisfying, and the monitoring infrastructure confirms they have been satisfying for the validation period, the SQL Server authentication transformation is closed. That is what done looks like — not a checkbox, but a demonstrated, continuously verified, evidence-backed posture.</w:t>
      </w:r>
    </w:p>
    <w:bookmarkEnd w:id="19"/>
    <w:bookmarkStart w:id="25" w:name="a-consequence-not-a-completion-date"/>
    <w:p>
      <w:pPr>
        <w:pStyle w:val="Heading2"/>
      </w:pPr>
      <w:r>
        <w:t xml:space="preserve">2027-04-01: A Consequence, Not a Completion Date</w:t>
      </w:r>
    </w:p>
    <w:p>
      <w:pPr>
        <w:pStyle w:val="CaptionedFigure"/>
      </w:pPr>
      <w:r>
        <w:drawing>
          <wp:inline>
            <wp:extent cx="5334000" cy="1466850"/>
            <wp:effectExtent b="0" l="0" r="0" t="0"/>
            <wp:docPr descr="2027-04-01 is when the block lands, so migration ends well before it and the last stretch is validation." title="" id="21" name="Picture"/>
            <a:graphic>
              <a:graphicData uri="http://schemas.openxmlformats.org/drawingml/2006/picture">
                <pic:pic>
                  <pic:nvPicPr>
                    <pic:cNvPr descr="../../images/sql-server/diagrams/svg/book-09-ch02-reading-2027-04-01.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1466850"/>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elimination deadline is the single most misread date in the program. It is widely treated as the date by which the migration must complete. It is not. It is the date on which the network-level NTLM block is applied. The block does not distinguish a compliant instance from an excepted one — it does not honor engine-layer exception status at all.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 the three-phase parallel-run, the cutover, the</w:t>
      </w:r>
      <w:r>
        <w:t xml:space="preserve"> </w:t>
      </w:r>
      <w:r>
        <w:rPr>
          <w:rStyle w:val="VerbatimChar"/>
        </w:rPr>
        <w:t xml:space="preserve">sa</w:t>
      </w:r>
      <w:r>
        <w:t xml:space="preserve"> </w:t>
      </w:r>
      <w:r>
        <w:t xml:space="preserve">disablement, the type-S elimination — should finish well before the deadline. The final months are reserved for validation, not for migration, because a posture confirmed only on the last day before the block is a posture nobody has had time to prove.</w:t>
      </w:r>
    </w:p>
    <w:p>
      <w:pPr>
        <w:pStyle w:val="BodyText"/>
      </w:pPr>
      <w:r>
        <w:t xml:space="preserve">This reading also gives the exception long-tail its proper weight. An instance that cannot reach Kerberos or Entra OAuth before the block must carry a documented exception with Certificate-Based Authentication as the authorized interim posture, and that exception’s sunset date must be reconciled against the block rather than against any softer internal milestone. The block is network-level and fixed; the program’s schedule must bend to it, not the other way around. When the migration is complete, the audit has validated the posture continuously, and the six artifact sets are live and satisfying, the 2027-04-01 block arrives as a non-event — which is exactly what done is supposed to feel like.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opt/quarto/share/formats/docx/note.png" id="2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09 establishes — Chapter 2</w:t>
            </w:r>
          </w:p>
        </w:tc>
      </w:tr>
      <w:tr>
        <w:trPr>
          <w:cantSplit/>
        </w:trPr>
        <w:tc>
          <w:tcPr>
            <w:tcMar>
              <w:top w:w="108" w:type="dxa"/>
              <w:bottom w:w="108" w:type="dxa"/>
            </w:tcMar>
          </w:tcPr>
          <w:p>
            <w:pPr>
              <w:pStyle w:val="Compact"/>
              <w:numPr>
                <w:ilvl w:val="0"/>
                <w:numId w:val="1001"/>
              </w:numPr>
            </w:pPr>
            <w:r>
              <w:t xml:space="preserve">Six evidence sets close the transformation, and each is a live output of continuous monitoring.</w:t>
            </w:r>
          </w:p>
          <w:p>
            <w:pPr>
              <w:pStyle w:val="Compact"/>
              <w:numPr>
                <w:ilvl w:val="0"/>
                <w:numId w:val="1001"/>
              </w:numPr>
            </w:pPr>
            <w:r>
              <w:t xml:space="preserve">They must hold across a defined validation period, not be assembled once.</w:t>
            </w:r>
          </w:p>
          <w:p>
            <w:pPr>
              <w:pStyle w:val="Compact"/>
              <w:numPr>
                <w:ilvl w:val="0"/>
                <w:numId w:val="1001"/>
              </w:numPr>
            </w:pPr>
            <w:r>
              <w:t xml:space="preserve">2027-04-01 is the network-block date, not the migration finish line: migration finishes earlier, so the block arrives as a non-event.</w:t>
            </w:r>
          </w:p>
          <w:p/>
        </w:tc>
      </w:tr>
    </w:tbl>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hyperlink r:id="rId16">
        <w:r>
          <w:rPr>
            <w:rStyle w:val="Hyperlink"/>
          </w:rPr>
          <w:t xml:space="preserve">Sign-in logs in Microsoft Entra ID</w:t>
        </w:r>
      </w:hyperlink>
      <w:r>
        <w:t xml:space="preserve">.</w:t>
      </w:r>
    </w:p>
  </w:footnote>
  <w:footnote w:id="17">
    <w:p>
      <w:pPr>
        <w:pStyle w:val="FootnoteText"/>
      </w:pPr>
      <w:r>
        <w:rPr>
          <w:rStyle w:val="FootnoteReference"/>
        </w:rPr>
        <w:footnoteRef/>
      </w:r>
      <w:r>
        <w:t xml:space="preserve"> </w:t>
      </w:r>
      <w:r>
        <w:t xml:space="preserve">Microsoft Learn,</w:t>
      </w:r>
      <w:r>
        <w:t xml:space="preserve"> </w:t>
      </w:r>
      <w:hyperlink r:id="rId18">
        <w:r>
          <w:rPr>
            <w:rStyle w:val="Hyperlink"/>
          </w:rPr>
          <w:t xml:space="preserve">What is Conditional Access?</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20" Target="media/rId20.svg" /><Relationship Type="http://schemas.openxmlformats.org/officeDocument/2006/relationships/image" Id="rId9" Target="media/rId9.png" /><Relationship Type="http://schemas.openxmlformats.org/officeDocument/2006/relationships/hyperlink" Id="rId18" Target="https://learn.microsoft.com/en-us/entra/identity/conditional-access/overview" TargetMode="External" /><Relationship Type="http://schemas.openxmlformats.org/officeDocument/2006/relationships/hyperlink" Id="rId16" Target="https://learn.microsoft.com/en-us/entra/identity/monitoring-health/concept-sign-ins" TargetMode="External" /></Relationships>
</file>

<file path=word/_rels/footnotes.xml.rels><?xml version="1.0" encoding="UTF-8"?><Relationships xmlns="http://schemas.openxmlformats.org/package/2006/relationships"><Relationship Type="http://schemas.openxmlformats.org/officeDocument/2006/relationships/hyperlink" Id="rId18" Target="https://learn.microsoft.com/en-us/entra/identity/conditional-access/overview" TargetMode="External" /><Relationship Type="http://schemas.openxmlformats.org/officeDocument/2006/relationships/hyperlink" Id="rId16" Target="https://learn.microsoft.com/en-us/entra/identity/monitoring-health/concept-sign-i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2027 Milestone: What Done Looks Like</dc:title>
  <dc:creator/>
  <cp:keywords/>
  <dcterms:created xsi:type="dcterms:W3CDTF">2026-10-19T10:09:31Z</dcterms:created>
  <dcterms:modified xsi:type="dcterms:W3CDTF">2026-10-19T10:09:31Z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09</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