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svg" ContentType="image/svg+xml"/>
  <Override PartName="/word/media/rId19.svg" ContentType="image/svg+xml"/>
  <Override PartName="/word/media/rId9.png" ContentType="image/png"/>
  <Override PartName="/word/media/rId16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SQL Server Identity Transformation</w:t>
      </w:r>
    </w:p>
    <w:p>
      <w:pPr>
        <w:pStyle w:val="Subtitle"/>
      </w:pPr>
      <w:r>
        <w:t xml:space="preserve">From Windows Authentication to Microsoft Entra ID — a ten-book reading sequence, with an epilogue, on transforming the SQL Server estate from twenty years of forest sprawl to an Entra-exclusive operational posture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4" w:name="sql-server-identity-transformation"/>
    <w:p>
      <w:pPr>
        <w:pStyle w:val="Heading1"/>
      </w:pPr>
      <w:r>
        <w:t xml:space="preserve">SQL Server Identity Transformation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Status — Draft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series — ten books and an epilogue — is</w:t>
            </w:r>
            <w:r>
              <w:t xml:space="preserve"> </w:t>
            </w:r>
            <w:r>
              <w:rPr>
                <w:b/>
                <w:bCs/>
              </w:rPr>
              <w:t xml:space="preserve">DRAFT v0.1</w:t>
            </w:r>
            <w:r>
              <w:t xml:space="preserve">. It is the explanatory companion to the</w:t>
            </w:r>
            <w:r>
              <w:t xml:space="preserve"> </w:t>
            </w:r>
            <w:r>
              <w:rPr>
                <w:b/>
                <w:bCs/>
              </w:rPr>
              <w:t xml:space="preserve">SQL Server engine-authentication decision</w:t>
            </w:r>
            <w:r>
              <w:t xml:space="preserve">, which is</w:t>
            </w:r>
            <w:r>
              <w:t xml:space="preserve"> </w:t>
            </w:r>
            <w:r>
              <w:rPr>
                <w:b/>
                <w:bCs/>
              </w:rPr>
              <w:t xml:space="preserve">PROPOSED</w:t>
            </w:r>
            <w:r>
              <w:t xml:space="preserve">, not yet</w:t>
            </w:r>
            <w:r>
              <w:t xml:space="preserve"> </w:t>
            </w:r>
            <w:r>
              <w:t xml:space="preserve">accepted. Treat the engineering patterns here as the evidentiary foundation for</w:t>
            </w:r>
            <w:r>
              <w:t xml:space="preserve"> </w:t>
            </w:r>
            <w:r>
              <w:t xml:space="preserve">that decision rather than as accepted normative governance until it is accepted</w:t>
            </w:r>
            <w:r>
              <w:t xml:space="preserve"> </w:t>
            </w:r>
            <w:r>
              <w:t xml:space="preserve">and this series is reviewed against it.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5">
              <w:r>
                <w:rPr>
                  <w:rStyle w:val="Hyperlink"/>
                  <w:b/>
                  <w:bCs/>
                </w:rPr>
                <w:t xml:space="preserve">sql-server-narrative-standalone-bundle.docx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Companion series — the executable layer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narrative is the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. Its book-for-book companion, the</w:t>
            </w:r>
            <w:r>
              <w:t xml:space="preserve"> </w:t>
            </w:r>
            <w:r>
              <w:rPr>
                <w:b/>
                <w:bCs/>
              </w:rPr>
              <w:t xml:space="preserve">SQL Server Identity Transformation — Implementation Companion</w:t>
            </w:r>
            <w:r>
              <w:t xml:space="preserve">, is the</w:t>
            </w:r>
            <w:r>
              <w:t xml:space="preserve"> </w:t>
            </w:r>
            <w:r>
              <w:rPr>
                <w:i/>
                <w:iCs/>
              </w:rPr>
              <w:t xml:space="preserve">how</w:t>
            </w:r>
            <w:r>
              <w:t xml:space="preserve">: the runbooks, scripts, parameters, output schemas, and failure modes — each implementation book the executable counterpart to the narrative book of the same number.</w:t>
            </w:r>
          </w:p>
          <w:p/>
        </w:tc>
      </w:tr>
    </w:tbl>
    <w:p>
      <w:pPr>
        <w:pStyle w:val="BodyText"/>
      </w:pPr>
      <w:r>
        <w:t xml:space="preserve">The transformation inventory classifies the SQL Server authentication</w:t>
      </w:r>
      <w:r>
        <w:t xml:space="preserve"> </w:t>
      </w:r>
      <w:r>
        <w:t xml:space="preserve">transformation as</w:t>
      </w:r>
      <w:r>
        <w:t xml:space="preserve"> </w:t>
      </w:r>
      <w:r>
        <w:rPr>
          <w:b/>
          <w:bCs/>
        </w:rPr>
        <w:t xml:space="preserve">Partially Defined</w:t>
      </w:r>
      <w:r>
        <w:t xml:space="preserve">. The destination is not in</w:t>
      </w:r>
      <w:r>
        <w:t xml:space="preserve"> </w:t>
      </w:r>
      <w:r>
        <w:t xml:space="preserve">doubt — the inventory names it precisely: Windows Authentication and SQL</w:t>
      </w:r>
      <w:r>
        <w:t xml:space="preserve"> </w:t>
      </w:r>
      <w:r>
        <w:t xml:space="preserve">Authentication are eliminated and replaced with Microsoft Entra ID</w:t>
      </w:r>
      <w:r>
        <w:t xml:space="preserve"> </w:t>
      </w:r>
      <w:r>
        <w:t xml:space="preserve">authentication for SQL Server 2022 and later, enforced through OAuth 2.0</w:t>
      </w:r>
      <w:r>
        <w:t xml:space="preserve"> </w:t>
      </w:r>
      <w:r>
        <w:t xml:space="preserve">tokens, a Microsoft Entra identity for each instance (the Arc managed</w:t>
      </w:r>
      <w:r>
        <w:t xml:space="preserve"> </w:t>
      </w:r>
      <w:r>
        <w:t xml:space="preserve">identity on SQL Server 2025, an app registration on SQL Server 2022), and multi-factor</w:t>
      </w:r>
      <w:r>
        <w:t xml:space="preserve"> </w:t>
      </w:r>
      <w:r>
        <w:t xml:space="preserve">authentication for every human principal. What was</w:t>
      </w:r>
      <w:r>
        <w:t xml:space="preserve"> </w:t>
      </w:r>
      <w:r>
        <w:rPr>
          <w:i/>
          <w:iCs/>
        </w:rPr>
        <w:t xml:space="preserve">partially defined</w:t>
      </w:r>
      <w:r>
        <w:t xml:space="preserve"> </w:t>
      </w:r>
      <w:r>
        <w:t xml:space="preserve">is the</w:t>
      </w:r>
      <w:r>
        <w:t xml:space="preserve"> </w:t>
      </w:r>
      <w:r>
        <w:t xml:space="preserve">normative canon governing how that destination is reached at the engine layer.</w:t>
      </w:r>
      <w:r>
        <w:t xml:space="preserve"> </w:t>
      </w:r>
      <w:r>
        <w:t xml:space="preserve">This series documents that path, fills it in narrative form, and provides the</w:t>
      </w:r>
      <w:r>
        <w:t xml:space="preserve"> </w:t>
      </w:r>
      <w:r>
        <w:t xml:space="preserve">analytical foundation that the</w:t>
      </w:r>
      <w:r>
        <w:t xml:space="preserve"> </w:t>
      </w:r>
      <w:r>
        <w:rPr>
          <w:b/>
          <w:bCs/>
        </w:rPr>
        <w:t xml:space="preserve">SQL Server engine-authentication decision</w:t>
      </w:r>
      <w:r>
        <w:t xml:space="preserve"> </w:t>
      </w:r>
      <w:r>
        <w:t xml:space="preserve">formalizes.</w:t>
      </w:r>
    </w:p>
    <w:p>
      <w:pPr>
        <w:pStyle w:val="CaptionedFigure"/>
      </w:pPr>
      <w:r>
        <w:drawing>
          <wp:inline>
            <wp:extent cx="5334000" cy="3601713"/>
            <wp:effectExtent b="0" l="0" r="0" t="0"/>
            <wp:docPr descr="How a connection authenticates before, during and after the transformation." title="" id="20" name="Picture"/>
            <a:graphic>
              <a:graphicData uri="http://schemas.openxmlformats.org/drawingml/2006/picture">
                <pic:pic>
                  <pic:nvPicPr>
                    <pic:cNvPr descr="../../images/sql-server/diagrams/svg/series-01-before-during-after.svg" id="2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How a connection authenticates before, during and after the transformation.</w:t>
      </w:r>
    </w:p>
    <w:p>
      <w:pPr>
        <w:pStyle w:val="BodyText"/>
      </w:pPr>
      <w:r>
        <w:t xml:space="preserve">The series is written in continuous narrative voice. It avoids the</w:t>
      </w:r>
      <w:r>
        <w:t xml:space="preserve"> </w:t>
      </w:r>
      <w:r>
        <w:t xml:space="preserve">bullet-point shorthand of a runbook, because the transformation it describes</w:t>
      </w:r>
      <w:r>
        <w:t xml:space="preserve"> </w:t>
      </w:r>
      <w:r>
        <w:t xml:space="preserve">is not a checklist — it is an engineering argument, and engineering arguments</w:t>
      </w:r>
      <w:r>
        <w:t xml:space="preserve"> </w:t>
      </w:r>
      <w:r>
        <w:t xml:space="preserve">require sentences.</w:t>
      </w:r>
    </w:p>
    <w:p>
      <w:pPr>
        <w:pStyle w:val="BodyText"/>
      </w:pPr>
      <w:r>
        <w:t xml:space="preserve">The reading sequence has a deliberate shape. Book 01 names the inheritance:</w:t>
      </w:r>
      <w:r>
        <w:t xml:space="preserve"> </w:t>
      </w:r>
      <w:r>
        <w:t xml:space="preserve">SQL Server’s Windows Authentication was good engineering for its world, not</w:t>
      </w:r>
      <w:r>
        <w:t xml:space="preserve"> </w:t>
      </w:r>
      <w:r>
        <w:t xml:space="preserve">negligence. Book 02 — new to this revision — confronts the precondition that</w:t>
      </w:r>
      <w:r>
        <w:t xml:space="preserve"> </w:t>
      </w:r>
      <w:r>
        <w:t xml:space="preserve">most authentication narratives skip: you cannot migrate the authentication of</w:t>
      </w:r>
      <w:r>
        <w:t xml:space="preserve"> </w:t>
      </w:r>
      <w:r>
        <w:t xml:space="preserve">an estate you have not first</w:t>
      </w:r>
      <w:r>
        <w:t xml:space="preserve"> </w:t>
      </w:r>
      <w:r>
        <w:rPr>
          <w:b/>
          <w:bCs/>
        </w:rPr>
        <w:t xml:space="preserve">assessed and consolidated</w:t>
      </w:r>
      <w:r>
        <w:t xml:space="preserve">, and after twenty</w:t>
      </w:r>
      <w:r>
        <w:t xml:space="preserve"> </w:t>
      </w:r>
      <w:r>
        <w:t xml:space="preserve">years across an Active Directory forest, the estate is larger and more tangled</w:t>
      </w:r>
      <w:r>
        <w:t xml:space="preserve"> </w:t>
      </w:r>
      <w:r>
        <w:t xml:space="preserve">than any team’s mental model of it. Books 03 through 06 trace the migration</w:t>
      </w:r>
      <w:r>
        <w:t xml:space="preserve"> </w:t>
      </w:r>
      <w:r>
        <w:t xml:space="preserve">itself — the authentication audit, the Arc identity bridge, the login</w:t>
      </w:r>
      <w:r>
        <w:t xml:space="preserve"> </w:t>
      </w:r>
      <w:r>
        <w:t xml:space="preserve">migration, and NTLM elimination at the SQL layer. Books 07 and 08 follow the</w:t>
      </w:r>
      <w:r>
        <w:t xml:space="preserve"> </w:t>
      </w:r>
      <w:r>
        <w:t xml:space="preserve">transformation outward, into access control and the upstream application chain.</w:t>
      </w:r>
      <w:r>
        <w:t xml:space="preserve"> </w:t>
      </w:r>
      <w:r>
        <w:t xml:space="preserve">Book 09 describes the transformed steady-state and the 2027 milestone, and Book</w:t>
      </w:r>
      <w:r>
        <w:t xml:space="preserve"> </w:t>
      </w:r>
      <w:r>
        <w:t xml:space="preserve">10 addresses the certificate-authority dependency that the other nine books</w:t>
      </w:r>
      <w:r>
        <w:t xml:space="preserve"> </w:t>
      </w:r>
      <w:r>
        <w:t xml:space="preserve">depend on but rarely name. Read</w:t>
      </w:r>
      <w:r>
        <w:t xml:space="preserve"> </w:t>
      </w:r>
      <w:hyperlink r:id="rId22">
        <w:r>
          <w:rPr>
            <w:rStyle w:val="Hyperlink"/>
          </w:rPr>
          <w:t xml:space="preserve">Applicability</w:t>
        </w:r>
      </w:hyperlink>
      <w:r>
        <w:t xml:space="preserve"> </w:t>
      </w:r>
      <w:r>
        <w:t xml:space="preserve">first: it</w:t>
      </w:r>
      <w:r>
        <w:t xml:space="preserve"> </w:t>
      </w:r>
      <w:r>
        <w:t xml:space="preserve">says where the series applies as written and what to do where it does not.</w:t>
      </w:r>
      <w:r>
        <w:t xml:space="preserve"> </w:t>
      </w:r>
      <w:r>
        <w:t xml:space="preserve">Book 11 is an epilogue: once the estate is</w:t>
      </w:r>
      <w:r>
        <w:t xml:space="preserve"> </w:t>
      </w:r>
      <w:r>
        <w:t xml:space="preserve">rationalized and its authentication migrated, it takes up the platform</w:t>
      </w:r>
      <w:r>
        <w:t xml:space="preserve"> </w:t>
      </w:r>
      <w:r>
        <w:t xml:space="preserve">question for each retained data domain.</w:t>
      </w:r>
    </w:p>
    <w:bookmarkStart w:id="24" w:name="the-dependency-chain"/>
    <w:p>
      <w:pPr>
        <w:pStyle w:val="Heading2"/>
      </w:pPr>
      <w:r>
        <w:t xml:space="preserve">The dependency chain</w:t>
      </w:r>
    </w:p>
    <w:p>
      <w:pPr>
        <w:pStyle w:val="FirstParagraph"/>
      </w:pPr>
      <w:r>
        <w:rPr>
          <w:b/>
          <w:bCs/>
        </w:rPr>
        <w:t xml:space="preserve">Inventory → Rationalize → Audit survivors → Enable identity substrate → Introduce Entra principals → Move applications → Remove legacy principals → Enforce protocol retirement → Demonstrate sustained posture.</w:t>
      </w:r>
      <w:r>
        <w:t xml:space="preserve"> </w:t>
      </w:r>
      <w:r>
        <w:t xml:space="preserve">The</w:t>
      </w:r>
      <w:r>
        <w:t xml:space="preserve"> </w:t>
      </w:r>
      <w:hyperlink r:id="rId23">
        <w:r>
          <w:rPr>
            <w:rStyle w:val="Hyperlink"/>
          </w:rPr>
          <w:t xml:space="preserve">Series Overview</w:t>
        </w:r>
      </w:hyperlink>
      <w:r>
        <w:t xml:space="preserve"> </w:t>
      </w:r>
      <w:r>
        <w:t xml:space="preserve">maps each step to its book.</w:t>
      </w:r>
    </w:p>
    <w:bookmarkEnd w:id="24"/>
    <w:bookmarkStart w:id="29" w:name="chapters"/>
    <w:p>
      <w:pPr>
        <w:pStyle w:val="Heading2"/>
      </w:pPr>
      <w:r>
        <w:t xml:space="preserve">Reading sequence</w:t>
      </w:r>
    </w:p>
    <w:p>
      <w:pPr>
        <w:pStyle w:val="CaptionedFigure"/>
      </w:pPr>
      <w:r>
        <w:drawing>
          <wp:inline>
            <wp:extent cx="5334000" cy="4695371"/>
            <wp:effectExtent b="0" l="0" r="0" t="0"/>
            <wp:docPr descr="The ten books and the epilogue, in the order they depend on each other." title="" id="26" name="Picture"/>
            <a:graphic>
              <a:graphicData uri="http://schemas.openxmlformats.org/drawingml/2006/picture">
                <pic:pic>
                  <pic:nvPicPr>
                    <pic:cNvPr descr="../../images/sql-server/diagrams/svg/series-00-reading-path.svg" id="2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5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ten books and the epilogue, in the order they depend on each other.</w:t>
      </w:r>
    </w:p>
    <w:bookmarkStart w:id="28" w:name="chapters"/>
    <w:bookmarkEnd w:id="28"/>
    <w:bookmarkEnd w:id="29"/>
    <w:bookmarkStart w:id="30" w:name="related-decisions"/>
    <w:p>
      <w:pPr>
        <w:pStyle w:val="Heading2"/>
      </w:pPr>
      <w:r>
        <w:t xml:space="preserve">Related decisions</w:t>
      </w:r>
    </w:p>
    <w:p>
      <w:pPr>
        <w:pStyle w:val="FirstParagraph"/>
      </w:pPr>
      <w:r>
        <w:t xml:space="preserve">This narrative is the explanatory foundation for several governance decisions: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SQL Server engine-authentication decision</w:t>
      </w:r>
      <w:r>
        <w:t xml:space="preserve"> </w:t>
      </w:r>
      <w:r>
        <w:t xml:space="preserve">— the engine-layer decision</w:t>
      </w:r>
      <w:r>
        <w:t xml:space="preserve"> </w:t>
      </w:r>
      <w:r>
        <w:t xml:space="preserve">this series motivates (currently</w:t>
      </w:r>
      <w:r>
        <w:t xml:space="preserve"> </w:t>
      </w:r>
      <w:r>
        <w:rPr>
          <w:b/>
          <w:bCs/>
        </w:rPr>
        <w:t xml:space="preserve">PROPOSED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Kerberos/NTLM-elimination program</w:t>
      </w:r>
      <w:r>
        <w:t xml:space="preserve"> </w:t>
      </w:r>
      <w:r>
        <w:t xml:space="preserve">— the protocol layer, with its</w:t>
      </w:r>
      <w:r>
        <w:t xml:space="preserve"> </w:t>
      </w:r>
      <w:r>
        <w:t xml:space="preserve">2027-04-01 NTLM backstop.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Arc non-domain-join requirement</w:t>
      </w:r>
      <w:r>
        <w:t xml:space="preserve"> </w:t>
      </w:r>
      <w:r>
        <w:t xml:space="preserve">— the server / OS layer.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LDAP-dependent-application migration plan</w:t>
      </w:r>
      <w:r>
        <w:t xml:space="preserve"> </w:t>
      </w:r>
      <w:r>
        <w:t xml:space="preserve">— the upstream application chain.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identity &amp; directory transformation inventory</w:t>
      </w:r>
      <w:r>
        <w:t xml:space="preserve"> </w:t>
      </w:r>
      <w:r>
        <w:t xml:space="preserve">— the program-wide</w:t>
      </w:r>
      <w:r>
        <w:t xml:space="preserve"> </w:t>
      </w:r>
      <w:r>
        <w:t xml:space="preserve">catalog in which the SQL Server authentication transformation is entry #7.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authentication-audit script</w:t>
      </w:r>
      <w:r>
        <w:t xml:space="preserve"> </w:t>
      </w:r>
      <w:r>
        <w:t xml:space="preserve">— the engine-layer discovery baseline.</w:t>
      </w:r>
    </w:p>
    <w:bookmarkEnd w:id="30"/>
    <w:bookmarkStart w:id="31" w:name="relationship-to-identity-governance"/>
    <w:p>
      <w:pPr>
        <w:pStyle w:val="Heading2"/>
      </w:pPr>
      <w:r>
        <w:t xml:space="preserve">Relationship to identity governance</w:t>
      </w:r>
    </w:p>
    <w:p>
      <w:pPr>
        <w:pStyle w:val="FirstParagraph"/>
      </w:pPr>
      <w:r>
        <w:t xml:space="preserve">Book 07 depends on identity governance outside SQL Server. The dynamic Entra</w:t>
      </w:r>
      <w:r>
        <w:t xml:space="preserve"> </w:t>
      </w:r>
      <w:r>
        <w:t xml:space="preserve">security groups that grant SQL Server access read user attributes such as</w:t>
      </w:r>
      <w:r>
        <w:t xml:space="preserve"> </w:t>
      </w:r>
      <w:r>
        <w:t xml:space="preserve">department, company, job title, and HR-sourced extension or directory extension</w:t>
      </w:r>
      <w:r>
        <w:t xml:space="preserve"> </w:t>
      </w:r>
      <w:r>
        <w:t xml:space="preserve">attributes. Those attributes must come from the HR system of record through</w:t>
      </w:r>
      <w:r>
        <w:t xml:space="preserve"> </w:t>
      </w:r>
      <w:r>
        <w:t xml:space="preserve">automated provisioning, and only that provisioning account may write them,</w:t>
      </w:r>
      <w:r>
        <w:t xml:space="preserve"> </w:t>
      </w:r>
      <w:r>
        <w:t xml:space="preserve">before any dynamic group grants production access. Book 07 also relies on the</w:t>
      </w:r>
      <w:r>
        <w:t xml:space="preserve"> </w:t>
      </w:r>
      <w:r>
        <w:t xml:space="preserve">tenant’s administrative-unit, Privileged Identity Management, and access-review</w:t>
      </w:r>
      <w:r>
        <w:t xml:space="preserve"> </w:t>
      </w:r>
      <w:r>
        <w:t xml:space="preserve">configuration for delegation, just-in-time privilege, and recertification.</w:t>
      </w:r>
    </w:p>
    <w:bookmarkEnd w:id="31"/>
    <w:bookmarkStart w:id="32" w:name="audience"/>
    <w:p>
      <w:pPr>
        <w:pStyle w:val="Heading2"/>
      </w:pPr>
      <w:r>
        <w:t xml:space="preserve">Audience</w:t>
      </w:r>
    </w:p>
    <w:p>
      <w:pPr>
        <w:pStyle w:val="FirstParagraph"/>
      </w:pPr>
      <w:r>
        <w:t xml:space="preserve">Database engineers who execute the login migrations, infrastructure architects</w:t>
      </w:r>
      <w:r>
        <w:t xml:space="preserve"> </w:t>
      </w:r>
      <w:r>
        <w:t xml:space="preserve">responsible for estate consolidation and Arc sequencing, security engineers who</w:t>
      </w:r>
      <w:r>
        <w:t xml:space="preserve"> </w:t>
      </w:r>
      <w:r>
        <w:t xml:space="preserve">own the Conditional Access design and the continuous-compliance monitoring, and</w:t>
      </w:r>
      <w:r>
        <w:t xml:space="preserve"> </w:t>
      </w:r>
      <w:r>
        <w:t xml:space="preserve">program leadership who must understand the scope of the engine-authentication gap</w:t>
      </w:r>
      <w:r>
        <w:t xml:space="preserve"> </w:t>
      </w:r>
      <w:r>
        <w:t xml:space="preserve">and the consolidation program that precedes it. The series assumes familiarity with SQL Server</w:t>
      </w:r>
      <w:r>
        <w:t xml:space="preserve"> </w:t>
      </w:r>
      <w:r>
        <w:t xml:space="preserve">administration and Active Directory security concepts; familiarity with Entra ID</w:t>
      </w:r>
      <w:r>
        <w:t xml:space="preserve"> </w:t>
      </w:r>
      <w:r>
        <w:t xml:space="preserve">is built progressively across the ten books.</w:t>
      </w:r>
    </w:p>
    <w:bookmarkEnd w:id="32"/>
    <w:bookmarkStart w:id="33" w:name="download"/>
    <w:p>
      <w:pPr>
        <w:pStyle w:val="Heading2"/>
      </w:pPr>
      <w:r>
        <w:t xml:space="preserve">Download</w:t>
      </w:r>
    </w:p>
    <w:p>
      <w:pPr>
        <w:pStyle w:val="FirstParagraph"/>
      </w:pPr>
      <w:r>
        <w:t xml:space="preserve">Every chapter renders to Microsoft Word (</w:t>
      </w:r>
      <w:r>
        <w:rPr>
          <w:rStyle w:val="VerbatimChar"/>
        </w:rPr>
        <w:t xml:space="preserve">.docx</w:t>
      </w:r>
      <w:r>
        <w:t xml:space="preserve">) alongside the web view</w:t>
      </w:r>
      <w:r>
        <w:t xml:space="preserve"> </w:t>
      </w:r>
      <w:r>
        <w:t xml:space="preserve">(see the</w:t>
      </w:r>
      <w:r>
        <w:t xml:space="preserve"> </w:t>
      </w:r>
      <w:r>
        <w:rPr>
          <w:b/>
          <w:bCs/>
        </w:rPr>
        <w:t xml:space="preserve">DOCX</w:t>
      </w:r>
      <w:r>
        <w:t xml:space="preserve"> </w:t>
      </w:r>
      <w:r>
        <w:t xml:space="preserve">button in the page header on each chapter).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svg" /><Relationship Type="http://schemas.openxmlformats.org/officeDocument/2006/relationships/image" Id="rId19" Target="media/rId19.sv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hyperlink" Id="rId15" Target="../../../downloads/sql-server-narrative-standalone-bundle.docx" TargetMode="External" /><Relationship Type="http://schemas.openxmlformats.org/officeDocument/2006/relationships/hyperlink" Id="rId22" Target="Applicability.md" TargetMode="External" /><Relationship Type="http://schemas.openxmlformats.org/officeDocument/2006/relationships/hyperlink" Id="rId23" Target="series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../../../downloads/sql-server-narrative-standalone-bundle.docx" TargetMode="External" /><Relationship Type="http://schemas.openxmlformats.org/officeDocument/2006/relationships/hyperlink" Id="rId22" Target="Applicability.md" TargetMode="External" /><Relationship Type="http://schemas.openxmlformats.org/officeDocument/2006/relationships/hyperlink" Id="rId23" Target="series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SQL Server Identity Transformation</dc:title>
  <dc:creator/>
  <cp:keywords/>
  <dcterms:created xsi:type="dcterms:W3CDTF">2026-10-19T10:09:33Z</dcterms:created>
  <dcterms:modified xsi:type="dcterms:W3CDTF">2026-10-19T10:09:33Z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section-landing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ubtitle">
    <vt:lpwstr>From Windows Authentication to Microsoft Entra ID — a ten-book reading sequence, with an epilogue, on transforming the SQL Server estate from twenty years of forest sprawl to an Entra-exclusive operational posture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