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9" w:name="applicability-and-scope"/>
    <w:p>
      <w:pPr>
        <w:pStyle w:val="Heading1"/>
      </w:pPr>
      <w:r>
        <w:t xml:space="preserve">Applicability and Scope</w:t>
      </w:r>
    </w:p>
    <w:p>
      <w:pPr>
        <w:pStyle w:val="FirstParagraph"/>
      </w:pPr>
      <w:r>
        <w:rPr>
          <w:b/>
          <w:bCs/>
        </w:rPr>
        <w:t xml:space="preserve">Read this before Chapter 01. It states which environments the target state in this series assumes, and where it doesn’t apply as written.</w:t>
      </w:r>
    </w:p>
    <w:bookmarkStart w:id="15" w:name="the-environment-this-series-assumes"/>
    <w:p>
      <w:pPr>
        <w:pStyle w:val="Heading2"/>
      </w:pPr>
      <w:r>
        <w:t xml:space="preserve">The environment this series assumes</w:t>
      </w:r>
    </w:p>
    <w:p>
      <w:pPr>
        <w:pStyle w:val="FirstParagraph"/>
      </w:pPr>
      <w:r>
        <w:t xml:space="preserve">The target state described in Chapters 04–08 is built on Microsoft’s</w:t>
      </w:r>
      <w:r>
        <w:t xml:space="preserve"> </w:t>
      </w:r>
      <w:r>
        <w:rPr>
          <w:b/>
          <w:bCs/>
        </w:rPr>
        <w:t xml:space="preserve">commercial cloud services</w:t>
      </w:r>
      <w:r>
        <w:t xml:space="preserve">: Microsoft Entra ID, Microsoft Intune, Azure Arc, Azure DNS Private Resolver, Azure Private DNS, and Microsoft Defender, consumed from the commercial cloud. For a federal agency, that means: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Fit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Commercial cloud / GCC-Moderate</w:t>
            </w:r>
            <w:r>
              <w:t xml:space="preserve"> </w:t>
            </w:r>
            <w:r>
              <w:t xml:space="preserve">(FedRAMP Moderate system boundary; the underlying Azure commercial services carry FedRAMP High authorizations)</w:t>
            </w:r>
            <w:r>
              <w:rPr>
                <w:rStyle w:val="FootnoteReference"/>
              </w:rPr>
              <w:footnoteReference w:id="9"/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 target.</w:t>
            </w:r>
            <w:r>
              <w:t xml:space="preserve"> </w:t>
            </w:r>
            <w:r>
              <w:t xml:space="preserve">The architecture applies as written, subject to the agency’s own authorization boundary.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GCC High / DoD</w:t>
            </w:r>
            <w:r>
              <w:t xml:space="preserve"> </w:t>
            </w:r>
            <w:r>
              <w:t xml:space="preserve">(Azure Government)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Applies in principle, with checks.</w:t>
            </w:r>
            <w:r>
              <w:t xml:space="preserve"> </w:t>
            </w:r>
            <w:r>
              <w:t xml:space="preserve">Feature availability and timing differ in the sovereign clouds. Confirm each named capability (for example, Entra certificate-based authentication options, Lifecycle Workflows, Microsoft Cloud PKI, Global Secure Access, and Arc-enabled services)</w:t>
            </w:r>
            <w:r>
              <w:rPr>
                <w:rStyle w:val="FootnoteReference"/>
              </w:rPr>
              <w:footnoteReference w:id="11"/>
            </w:r>
            <w:r>
              <w:t xml:space="preserve"> </w:t>
            </w:r>
            <w:r>
              <w:t xml:space="preserve">against the current per-cloud availability tables before you commit to it.</w:t>
            </w:r>
            <w:r>
              <w:rPr>
                <w:rStyle w:val="FootnoteReference"/>
              </w:rPr>
              <w:footnoteReference w:id="13"/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Air-gapped / classified enclaves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Does not apply as written.</w:t>
            </w:r>
            <w:r>
              <w:t xml:space="preserve"> </w:t>
            </w:r>
            <w:r>
              <w:t xml:space="preserve">With no cloud control plane, Entra ID, Intune, and Arc aren’t available. The assessment and plan-and-deliver discipline (Chapters 02–03) still apply to an on-premises target, which typically remains AD DS.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OT, lab, and 802.1X-dependent networks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Partial.</w:t>
            </w:r>
            <w:r>
              <w:t xml:space="preserve"> </w:t>
            </w:r>
            <w:r>
              <w:t xml:space="preserve">Network access control that relies on NPS/RADIUS against AD needs an explicit successor (certificate-based EAP-TLS against a non-AD RADIUS, or a cloud RADIUS service). The series names the dependency but doesn’t design the replacement.</w:t>
            </w:r>
          </w:p>
        </w:tc>
      </w:tr>
    </w:tbl>
    <w:bookmarkEnd w:id="15"/>
    <w:bookmarkStart w:id="22" w:name="platform-assumptions"/>
    <w:p>
      <w:pPr>
        <w:pStyle w:val="Heading2"/>
      </w:pPr>
      <w:r>
        <w:t xml:space="preserve">Platform assumptions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Windows Server 2025</w:t>
      </w:r>
      <w:r>
        <w:t xml:space="preserve"> </w:t>
      </w:r>
      <w:r>
        <w:t xml:space="preserve">for the platform host (Chapter 01). Earlier supported versions work for the assessment role.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Windows 11</w:t>
      </w:r>
      <w:r>
        <w:t xml:space="preserve"> </w:t>
      </w:r>
      <w:r>
        <w:t xml:space="preserve">user devices for Entra join and Autopilot (Chapter 07).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Microsoft Entra ID P1</w:t>
      </w:r>
      <w:r>
        <w:t xml:space="preserve"> </w:t>
      </w:r>
      <w:r>
        <w:t xml:space="preserve">at minimum for dynamic groups, dynamic administrative units, and Conditional Access.</w:t>
      </w:r>
      <w:r>
        <w:rPr>
          <w:rStyle w:val="FootnoteReference"/>
        </w:rPr>
        <w:footnoteReference w:id="16"/>
      </w:r>
      <w:r>
        <w:t xml:space="preserve"> </w:t>
      </w:r>
      <w:r>
        <w:rPr>
          <w:b/>
          <w:bCs/>
        </w:rPr>
        <w:t xml:space="preserve">Entra ID P2 or Microsoft Entra ID Governance</w:t>
      </w:r>
      <w:r>
        <w:t xml:space="preserve"> </w:t>
      </w:r>
      <w:r>
        <w:t xml:space="preserve">for Privileged Identity Management, Identity Protection risk policies, access reviews, and Lifecycle Workflows.</w:t>
      </w:r>
      <w:r>
        <w:rPr>
          <w:rStyle w:val="FootnoteReference"/>
        </w:rPr>
        <w:footnoteReference w:id="18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Microsoft Intune</w:t>
      </w:r>
      <w:r>
        <w:t xml:space="preserve"> </w:t>
      </w:r>
      <w:r>
        <w:t xml:space="preserve">licensing for every managed user device.</w:t>
      </w:r>
      <w:r>
        <w:rPr>
          <w:rStyle w:val="FootnoteReference"/>
        </w:rPr>
        <w:footnoteReference w:id="20"/>
      </w:r>
    </w:p>
    <w:p>
      <w:pPr>
        <w:pStyle w:val="Compact"/>
        <w:numPr>
          <w:ilvl w:val="0"/>
          <w:numId w:val="1001"/>
        </w:numPr>
      </w:pPr>
      <w:r>
        <w:t xml:space="preserve">Azure subscriptions for Arc-connected servers, Azure Policy machine configuration, and Private Resolver. Some Arc-enabled capabilities are billed per server.</w:t>
      </w:r>
    </w:p>
    <w:bookmarkEnd w:id="22"/>
    <w:bookmarkStart w:id="25" w:name="what-this-series-is-and-isnt"/>
    <w:p>
      <w:pPr>
        <w:pStyle w:val="Heading2"/>
      </w:pPr>
      <w:r>
        <w:t xml:space="preserve">What this series is, and isn’t</w:t>
      </w:r>
    </w:p>
    <w:p>
      <w:pPr>
        <w:pStyle w:val="Compact"/>
        <w:numPr>
          <w:ilvl w:val="0"/>
          <w:numId w:val="1002"/>
        </w:numPr>
      </w:pPr>
      <w:r>
        <w:t xml:space="preserve">It is a</w:t>
      </w:r>
      <w:r>
        <w:t xml:space="preserve"> </w:t>
      </w:r>
      <w:r>
        <w:rPr>
          <w:b/>
          <w:bCs/>
        </w:rPr>
        <w:t xml:space="preserve">reference architecture and program model</w:t>
      </w:r>
      <w:r>
        <w:t xml:space="preserve">. The</w:t>
      </w:r>
      <w:r>
        <w:t xml:space="preserve"> </w:t>
      </w:r>
      <w:r>
        <w:t xml:space="preserve">“framework”</w:t>
      </w:r>
      <w:r>
        <w:t xml:space="preserve"> </w:t>
      </w:r>
      <w:r>
        <w:t xml:space="preserve">(the platform host, plan engine, adapters, drift detection, and evidence packets) is a design to be built from standard components. It isn’t an existing product.</w:t>
      </w:r>
    </w:p>
    <w:p>
      <w:pPr>
        <w:pStyle w:val="Compact"/>
        <w:numPr>
          <w:ilvl w:val="0"/>
          <w:numId w:val="1002"/>
        </w:numPr>
      </w:pPr>
      <w:r>
        <w:t xml:space="preserve">It doesn’t replace Microsoft’s product documentation or the agency’s own authorization (ATO) process. Each new cloud dependency it introduces has to sit inside an authorized boundary.</w:t>
      </w:r>
    </w:p>
    <w:p>
      <w:pPr>
        <w:pStyle w:val="Compact"/>
        <w:numPr>
          <w:ilvl w:val="0"/>
          <w:numId w:val="1002"/>
        </w:numPr>
      </w:pPr>
      <w:r>
        <w:t xml:space="preserve">Numbers in the series (percentages, durations, user counts, thresholds) are</w:t>
      </w:r>
      <w:r>
        <w:t xml:space="preserve"> </w:t>
      </w:r>
      <w:r>
        <w:rPr>
          <w:b/>
          <w:bCs/>
        </w:rPr>
        <w:t xml:space="preserve">illustrative</w:t>
      </w:r>
      <w:r>
        <w:t xml:space="preserve"> </w:t>
      </w:r>
      <w:r>
        <w:t xml:space="preserve">unless a source is cited.</w:t>
      </w:r>
    </w:p>
    <w:p>
      <w:pPr>
        <w:pStyle w:val="Compact"/>
        <w:numPr>
          <w:ilvl w:val="0"/>
          <w:numId w:val="1002"/>
        </w:numPr>
      </w:pPr>
      <w:r>
        <w:t xml:space="preserve">Microsoft hasn’t deprecated AD DS.</w:t>
      </w:r>
      <w:r>
        <w:rPr>
          <w:rStyle w:val="FootnoteReference"/>
        </w:rPr>
        <w:footnoteReference w:id="23"/>
      </w:r>
      <w:r>
        <w:t xml:space="preserve"> </w:t>
      </w:r>
      <w:r>
        <w:t xml:space="preserve">Retiring it is an agency decision that this series supports. Partial outcomes are legitimate end states: a minimized AD, or documented Kerberos islands with end-of-life dates.</w:t>
      </w:r>
    </w:p>
    <w:bookmarkEnd w:id="25"/>
    <w:bookmarkStart w:id="28" w:name="authoritative-references"/>
    <w:p>
      <w:pPr>
        <w:pStyle w:val="Heading2"/>
      </w:pPr>
      <w:r>
        <w:t xml:space="preserve">Authoritative references</w:t>
      </w:r>
    </w:p>
    <w:p>
      <w:pPr>
        <w:pStyle w:val="Compact"/>
        <w:numPr>
          <w:ilvl w:val="0"/>
          <w:numId w:val="1003"/>
        </w:numPr>
      </w:pPr>
      <w:r>
        <w:t xml:space="preserve">Microsoft Learn,</w:t>
      </w:r>
      <w:r>
        <w:t xml:space="preserve"> </w:t>
      </w:r>
      <w:hyperlink r:id="rId10">
        <w:r>
          <w:rPr>
            <w:rStyle w:val="Hyperlink"/>
          </w:rPr>
          <w:t xml:space="preserve">Configure Microsoft Entra ID to meet FedRAMP High Impact level - Microsoft Entra</w:t>
        </w:r>
      </w:hyperlink>
    </w:p>
    <w:p>
      <w:pPr>
        <w:pStyle w:val="Compact"/>
        <w:numPr>
          <w:ilvl w:val="0"/>
          <w:numId w:val="1003"/>
        </w:numPr>
      </w:pPr>
      <w:r>
        <w:t xml:space="preserve">Microsoft Learn,</w:t>
      </w:r>
      <w:r>
        <w:t xml:space="preserve"> </w:t>
      </w:r>
      <w:hyperlink r:id="rId14">
        <w:r>
          <w:rPr>
            <w:rStyle w:val="Hyperlink"/>
          </w:rPr>
          <w:t xml:space="preserve">Microsoft Entra feature availability in Azure for US Government - Microsoft Entra ID</w:t>
        </w:r>
      </w:hyperlink>
    </w:p>
    <w:p>
      <w:pPr>
        <w:pStyle w:val="Compact"/>
        <w:numPr>
          <w:ilvl w:val="0"/>
          <w:numId w:val="1003"/>
        </w:numPr>
      </w:pPr>
      <w:r>
        <w:t xml:space="preserve">Microsoft Learn,</w:t>
      </w:r>
      <w:r>
        <w:t xml:space="preserve"> </w:t>
      </w:r>
      <w:hyperlink r:id="rId12">
        <w:r>
          <w:rPr>
            <w:rStyle w:val="Hyperlink"/>
          </w:rPr>
          <w:t xml:space="preserve">Microsoft Cloud PKI for Microsoft Intune - Microsoft Intune</w:t>
        </w:r>
      </w:hyperlink>
    </w:p>
    <w:p>
      <w:pPr>
        <w:pStyle w:val="Compact"/>
        <w:numPr>
          <w:ilvl w:val="0"/>
          <w:numId w:val="1003"/>
        </w:numPr>
      </w:pPr>
      <w:r>
        <w:t xml:space="preserve">Microsoft Learn,</w:t>
      </w:r>
      <w:r>
        <w:t xml:space="preserve"> </w:t>
      </w:r>
      <w:hyperlink r:id="rId21">
        <w:r>
          <w:rPr>
            <w:rStyle w:val="Hyperlink"/>
          </w:rPr>
          <w:t xml:space="preserve">Microsoft Intune Government Service overview - Microsoft Intune</w:t>
        </w:r>
      </w:hyperlink>
    </w:p>
    <w:p>
      <w:pPr>
        <w:pStyle w:val="Compact"/>
        <w:numPr>
          <w:ilvl w:val="0"/>
          <w:numId w:val="1003"/>
        </w:numPr>
      </w:pPr>
      <w:r>
        <w:t xml:space="preserve">Microsoft Learn,</w:t>
      </w:r>
      <w:r>
        <w:t xml:space="preserve"> </w:t>
      </w:r>
      <w:hyperlink r:id="rId17">
        <w:r>
          <w:rPr>
            <w:rStyle w:val="Hyperlink"/>
          </w:rPr>
          <w:t xml:space="preserve">Manage rules for dynamic membership groups in Microsoft Entra ID - Microsoft Entra ID</w:t>
        </w:r>
      </w:hyperlink>
    </w:p>
    <w:p>
      <w:pPr>
        <w:pStyle w:val="Compact"/>
        <w:numPr>
          <w:ilvl w:val="0"/>
          <w:numId w:val="1003"/>
        </w:numPr>
      </w:pPr>
      <w:r>
        <w:t xml:space="preserve">Microsoft Learn,</w:t>
      </w:r>
      <w:r>
        <w:t xml:space="preserve"> </w:t>
      </w:r>
      <w:hyperlink r:id="rId19">
        <w:r>
          <w:rPr>
            <w:rStyle w:val="Hyperlink"/>
          </w:rPr>
          <w:t xml:space="preserve">What are lifecycle workflows? - Microsoft Entra ID Governance</w:t>
        </w:r>
      </w:hyperlink>
    </w:p>
    <w:p>
      <w:pPr>
        <w:pStyle w:val="Compact"/>
        <w:numPr>
          <w:ilvl w:val="0"/>
          <w:numId w:val="1003"/>
        </w:numPr>
      </w:pPr>
      <w:r>
        <w:t xml:space="preserve">Microsoft Learn,</w:t>
      </w:r>
      <w:r>
        <w:t xml:space="preserve"> </w:t>
      </w:r>
      <w:hyperlink r:id="rId24">
        <w:r>
          <w:rPr>
            <w:rStyle w:val="Hyperlink"/>
          </w:rPr>
          <w:t xml:space="preserve">What’s new in Windows Server 2025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hyperlink r:id="rId26">
        <w:r>
          <w:rPr>
            <w:rStyle w:val="Hyperlink"/>
          </w:rPr>
          <w:t xml:space="preserve">Chapter 00 — The Problem</w:t>
        </w:r>
      </w:hyperlink>
      <w:r>
        <w:br/>
      </w:r>
      <w:r>
        <w:rPr>
          <w:b/>
          <w:bCs/>
        </w:rPr>
        <w:t xml:space="preserve">Next:</w:t>
      </w:r>
      <w:r>
        <w:t xml:space="preserve"> </w:t>
      </w:r>
      <w:hyperlink r:id="rId27">
        <w:r>
          <w:rPr>
            <w:rStyle w:val="Hyperlink"/>
          </w:rPr>
          <w:t xml:space="preserve">Chapter 01 — Platform Foundation</w:t>
        </w:r>
      </w:hyperlink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Configure Microsoft Entra ID to meet FedRAMP High Impact level - Microsoft Entra</w:t>
      </w:r>
      <w:r>
        <w:t xml:space="preserve">. Microsoft states that Azure supports services at FedRAMP High in the Azure public cloud and gives the Entra configuration needed to meet the High baseline.</w:t>
      </w:r>
      <w:r>
        <w:t xml:space="preserve"> </w:t>
      </w:r>
      <w:hyperlink r:id="rId10">
        <w:r>
          <w:rPr>
            <w:rStyle w:val="Hyperlink"/>
          </w:rPr>
          <w:t xml:space="preserve">https://learn.microsoft.com/en-us/entra/standards/configure-for-fedramp-high-impact</w:t>
        </w:r>
      </w:hyperlink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Microsoft Cloud PKI for Microsoft Intune - Microsoft Intune</w:t>
      </w:r>
      <w:r>
        <w:t xml:space="preserve">. Microsoft Cloud PKI is available in GCC High but not in DoD environments.</w:t>
      </w:r>
      <w:r>
        <w:t xml:space="preserve"> </w:t>
      </w:r>
      <w:hyperlink r:id="rId12">
        <w:r>
          <w:rPr>
            <w:rStyle w:val="Hyperlink"/>
          </w:rPr>
          <w:t xml:space="preserve">https://learn.microsoft.com/en-us/intune/cloud-pki/</w:t>
        </w:r>
      </w:hyperlink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Microsoft Entra feature availability in Azure for US Government - Microsoft Entra ID</w:t>
      </w:r>
      <w:r>
        <w:t xml:space="preserve">. Entra feature availability in Azure for US Government.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https://learn.microsoft.com/en-us/entra/identity/authentication/feature-availability</w:t>
        </w:r>
      </w:hyperlink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Manage rules for dynamic membership groups in Microsoft Entra ID - Microsoft Entra ID</w:t>
      </w:r>
      <w:r>
        <w:t xml:space="preserve">. Dynamic membership requires Microsoft Entra ID P1 for each member.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https://learn.microsoft.com/en-us/entra/identity/users/groups-dynamic-membership</w:t>
        </w:r>
      </w:hyperlink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 are lifecycle workflows? - Microsoft Entra ID Governance</w:t>
      </w:r>
      <w:r>
        <w:t xml:space="preserve">. Lifecycle Workflows require Microsoft Entra ID Governance or Microsoft Entra Suite licenses.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https://learn.microsoft.com/en-us/entra/id-governance/what-are-lifecycle-workflows</w:t>
        </w:r>
      </w:hyperlink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Microsoft Intune Government Service overview - Microsoft Intune</w:t>
      </w:r>
      <w:r>
        <w:t xml:space="preserve">. Intune service description for GCC High and DoD.</w:t>
      </w:r>
      <w:r>
        <w:t xml:space="preserve"> </w:t>
      </w:r>
      <w:hyperlink r:id="rId21">
        <w:r>
          <w:rPr>
            <w:rStyle w:val="Hyperlink"/>
          </w:rPr>
          <w:t xml:space="preserve">https://learn.microsoft.com/en-us/intune/fundamentals/government-service</w:t>
        </w:r>
      </w:hyperlink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What’s new in Windows Server 2025</w:t>
      </w:r>
      <w:r>
        <w:t xml:space="preserve">.</w:t>
      </w:r>
      <w:r>
        <w:t xml:space="preserve"> </w:t>
      </w:r>
      <w:hyperlink r:id="rId24">
        <w:r>
          <w:rPr>
            <w:rStyle w:val="Hyperlink"/>
          </w:rPr>
          <w:t xml:space="preserve">https://learn.microsoft.com/en-us/windows-server/get-started/whats-new-windows-server-2025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00-the-problem.md" TargetMode="External" /><Relationship Type="http://schemas.openxmlformats.org/officeDocument/2006/relationships/hyperlink" Id="rId27" Target="01-platform-foundation.md" TargetMode="External" /><Relationship Type="http://schemas.openxmlformats.org/officeDocument/2006/relationships/hyperlink" Id="rId19" Target="https://learn.microsoft.com/en-us/entra/id-governance/what-are-lifecycle-workflows" TargetMode="External" /><Relationship Type="http://schemas.openxmlformats.org/officeDocument/2006/relationships/hyperlink" Id="rId14" Target="https://learn.microsoft.com/en-us/entra/identity/authentication/feature-availability" TargetMode="External" /><Relationship Type="http://schemas.openxmlformats.org/officeDocument/2006/relationships/hyperlink" Id="rId17" Target="https://learn.microsoft.com/en-us/entra/identity/users/groups-dynamic-membership" TargetMode="External" /><Relationship Type="http://schemas.openxmlformats.org/officeDocument/2006/relationships/hyperlink" Id="rId10" Target="https://learn.microsoft.com/en-us/entra/standards/configure-for-fedramp-high-impact" TargetMode="External" /><Relationship Type="http://schemas.openxmlformats.org/officeDocument/2006/relationships/hyperlink" Id="rId12" Target="https://learn.microsoft.com/en-us/intune/cloud-pki/" TargetMode="External" /><Relationship Type="http://schemas.openxmlformats.org/officeDocument/2006/relationships/hyperlink" Id="rId21" Target="https://learn.microsoft.com/en-us/intune/fundamentals/government-service" TargetMode="External" /><Relationship Type="http://schemas.openxmlformats.org/officeDocument/2006/relationships/hyperlink" Id="rId24" Target="https://learn.microsoft.com/en-us/windows-server/get-started/whats-new-windows-server-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00-the-problem.md" TargetMode="External" /><Relationship Type="http://schemas.openxmlformats.org/officeDocument/2006/relationships/hyperlink" Id="rId27" Target="01-platform-foundation.md" TargetMode="External" /><Relationship Type="http://schemas.openxmlformats.org/officeDocument/2006/relationships/hyperlink" Id="rId19" Target="https://learn.microsoft.com/en-us/entra/id-governance/what-are-lifecycle-workflows" TargetMode="External" /><Relationship Type="http://schemas.openxmlformats.org/officeDocument/2006/relationships/hyperlink" Id="rId14" Target="https://learn.microsoft.com/en-us/entra/identity/authentication/feature-availability" TargetMode="External" /><Relationship Type="http://schemas.openxmlformats.org/officeDocument/2006/relationships/hyperlink" Id="rId17" Target="https://learn.microsoft.com/en-us/entra/identity/users/groups-dynamic-membership" TargetMode="External" /><Relationship Type="http://schemas.openxmlformats.org/officeDocument/2006/relationships/hyperlink" Id="rId10" Target="https://learn.microsoft.com/en-us/entra/standards/configure-for-fedramp-high-impact" TargetMode="External" /><Relationship Type="http://schemas.openxmlformats.org/officeDocument/2006/relationships/hyperlink" Id="rId12" Target="https://learn.microsoft.com/en-us/intune/cloud-pki/" TargetMode="External" /><Relationship Type="http://schemas.openxmlformats.org/officeDocument/2006/relationships/hyperlink" Id="rId21" Target="https://learn.microsoft.com/en-us/intune/fundamentals/government-service" TargetMode="External" /><Relationship Type="http://schemas.openxmlformats.org/officeDocument/2006/relationships/hyperlink" Id="rId24" Target="https://learn.microsoft.com/en-us/windows-server/get-started/whats-new-windows-server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2026-10-19T10:09:35Z</dcterms:created>
  <dcterms:modified xsi:type="dcterms:W3CDTF">2026-10-19T10:09:35Z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