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1" w:name="X32b338ab862f877167e3584e719d08f21c608e5"/>
    <w:p>
      <w:pPr>
        <w:pStyle w:val="Heading1"/>
      </w:pPr>
      <w:r>
        <w:t xml:space="preserve">Chapter 02 — Analyzing the Client/Server Estate</w:t>
      </w:r>
    </w:p>
    <w:p>
      <w:pPr>
        <w:pStyle w:val="FirstParagraph"/>
      </w:pPr>
      <w:r>
        <w:rPr>
          <w:b/>
          <w:bCs/>
        </w:rPr>
        <w:t xml:space="preserve">Forest discovery, GPO inventory, DNS/DHCP scraping, Kerberos SPN audit, certificate-services analysis — read-only, least-privilege, provenance-bound</w:t>
      </w:r>
    </w:p>
    <w:p>
      <w:pPr>
        <w:pStyle w:val="BlockText"/>
      </w:pPr>
      <w:r>
        <w:rPr>
          <w:b/>
          <w:bCs/>
        </w:rPr>
        <w:t xml:space="preserve">Dependency chain:</w:t>
      </w:r>
      <w:r>
        <w:t xml:space="preserve"> </w:t>
      </w:r>
      <w:r>
        <w:rPr>
          <w:b/>
          <w:bCs/>
        </w:rPr>
        <w:t xml:space="preserve">Inventory</w:t>
      </w:r>
      <w:r>
        <w:t xml:space="preserve"> </w:t>
      </w:r>
      <w:r>
        <w:t xml:space="preserve">→ Plan → Identity → Policy → Network services → Devices and servers → Access plane → Retire AD DS → Prove steady state</w:t>
      </w:r>
    </w:p>
    <w:bookmarkStart w:id="12" w:name="the-assessment-discipline"/>
    <w:p>
      <w:pPr>
        <w:pStyle w:val="Heading2"/>
      </w:pPr>
      <w:r>
        <w:t xml:space="preserve">The assessment discipline</w:t>
      </w:r>
    </w:p>
    <w:p>
      <w:pPr>
        <w:pStyle w:val="CaptionedFigure"/>
      </w:pPr>
      <w:r>
        <w:drawing>
          <wp:inline>
            <wp:extent cx="5334000" cy="1219200"/>
            <wp:effectExtent b="0" l="0" r="0" t="0"/>
            <wp:docPr descr="Diagram" title="" id="10" name="Picture"/>
            <a:graphic>
              <a:graphicData uri="http://schemas.openxmlformats.org/drawingml/2006/picture">
                <pic:pic>
                  <pic:nvPicPr>
                    <pic:cNvPr descr="../images/cshc/analysis-pipeline.svg" id="1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Diagram</w:t>
      </w:r>
    </w:p>
    <w:p>
      <w:pPr>
        <w:pStyle w:val="BodyText"/>
      </w:pPr>
      <w:r>
        <w:t xml:space="preserve">You cannot modernize what you have not enumerated. Every modernization begins with a</w:t>
      </w:r>
      <w:r>
        <w:t xml:space="preserve"> </w:t>
      </w:r>
      <w:r>
        <w:rPr>
          <w:b/>
          <w:bCs/>
        </w:rPr>
        <w:t xml:space="preserve">read-only, least-privilege, provenance-bound analysis</w:t>
      </w:r>
      <w:r>
        <w:t xml:space="preserve"> </w:t>
      </w:r>
      <w:r>
        <w:t xml:space="preserve">of the existing Client/Server estate. The output of this phase is a structured, versioned artifact set — one per dependency category — committed to the authoritative repository and consumed by every downstream chapter.</w:t>
      </w:r>
    </w:p>
    <w:p>
      <w:pPr>
        <w:pStyle w:val="BodyText"/>
      </w:pPr>
      <w:r>
        <w:t xml:space="preserve">No writes. No guesses. No “we will handle that later.”</w:t>
      </w:r>
    </w:p>
    <w:bookmarkEnd w:id="12"/>
    <w:bookmarkStart w:id="15" w:name="the-assessment-problem"/>
    <w:p>
      <w:pPr>
        <w:pStyle w:val="Heading2"/>
      </w:pPr>
      <w:r>
        <w:t xml:space="preserve">The assessment problem</w:t>
      </w:r>
    </w:p>
    <w:p>
      <w:pPr>
        <w:pStyle w:val="FirstParagraph"/>
      </w:pPr>
      <w:r>
        <w:t xml:space="preserve">When an organization asks “what is in our Active Directory forest?” the honest answer is usually “more than anyone currently on the team knows.” Twenty-five years of organic growth have produced:</w:t>
      </w:r>
    </w:p>
    <w:p>
      <w:pPr>
        <w:pStyle w:val="Compact"/>
        <w:numPr>
          <w:ilvl w:val="0"/>
          <w:numId w:val="1001"/>
        </w:numPr>
      </w:pPr>
      <w:r>
        <w:t xml:space="preserve">Forests with trust relationships no one can fully map.</w:t>
      </w:r>
    </w:p>
    <w:p>
      <w:pPr>
        <w:pStyle w:val="Compact"/>
        <w:numPr>
          <w:ilvl w:val="0"/>
          <w:numId w:val="1001"/>
        </w:numPr>
      </w:pPr>
      <w:r>
        <w:t xml:space="preserve">Organizational-unit trees with orphan branches created for long-dismissed projects.</w:t>
      </w:r>
    </w:p>
    <w:p>
      <w:pPr>
        <w:pStyle w:val="Compact"/>
        <w:numPr>
          <w:ilvl w:val="0"/>
          <w:numId w:val="1001"/>
        </w:numPr>
      </w:pPr>
      <w:r>
        <w:t xml:space="preserve">Group Policy Objects whose authors left a decade ago and whose effects are unknown.</w:t>
      </w:r>
    </w:p>
    <w:p>
      <w:pPr>
        <w:pStyle w:val="Compact"/>
        <w:numPr>
          <w:ilvl w:val="0"/>
          <w:numId w:val="1001"/>
        </w:numPr>
      </w:pPr>
      <w:r>
        <w:t xml:space="preserve">Service accounts with service principal names pointed at applications no one operates.</w:t>
      </w:r>
    </w:p>
    <w:p>
      <w:pPr>
        <w:pStyle w:val="Compact"/>
        <w:numPr>
          <w:ilvl w:val="0"/>
          <w:numId w:val="1001"/>
        </w:numPr>
      </w:pPr>
      <w:r>
        <w:t xml:space="preserve">Certificate templates with permissions that silently enable privilege-escalation paths.</w:t>
      </w:r>
      <w:r>
        <w:rPr>
          <w:rStyle w:val="FootnoteReference"/>
        </w:rPr>
        <w:footnoteReference w:id="13"/>
      </w:r>
    </w:p>
    <w:p>
      <w:pPr>
        <w:pStyle w:val="Compact"/>
        <w:numPr>
          <w:ilvl w:val="0"/>
          <w:numId w:val="1001"/>
        </w:numPr>
      </w:pPr>
      <w:r>
        <w:t xml:space="preserve">DNS zones with stale records that still resolve and still route.</w:t>
      </w:r>
    </w:p>
    <w:p>
      <w:pPr>
        <w:pStyle w:val="Compact"/>
        <w:numPr>
          <w:ilvl w:val="0"/>
          <w:numId w:val="1001"/>
        </w:numPr>
      </w:pPr>
      <w:r>
        <w:t xml:space="preserve">DHCP scopes whose reservations reference MAC addresses of machines that have been retired for years.</w:t>
      </w:r>
    </w:p>
    <w:p>
      <w:pPr>
        <w:pStyle w:val="FirstParagraph"/>
      </w:pPr>
      <w:r>
        <w:t xml:space="preserve">A successful modernization starts by producing the complete, structured, current-state picture. Not a best-effort inventory. Not a sample. The full, structured, attestation-grade record.</w:t>
      </w:r>
    </w:p>
    <w:bookmarkEnd w:id="15"/>
    <w:bookmarkStart w:id="21" w:name="three-design-principles"/>
    <w:p>
      <w:pPr>
        <w:pStyle w:val="Heading2"/>
      </w:pPr>
      <w:r>
        <w:t xml:space="preserve">Three design principles</w:t>
      </w:r>
    </w:p>
    <w:p>
      <w:pPr>
        <w:pStyle w:val="FirstParagraph"/>
      </w:pPr>
      <w:r>
        <w:t xml:space="preserve">The assessment layer enforces three principles that distinguish it from a general-purpose Active Directory scan.</w:t>
      </w:r>
    </w:p>
    <w:bookmarkStart w:id="16" w:name="read-only-by-policy"/>
    <w:p>
      <w:pPr>
        <w:pStyle w:val="Heading3"/>
      </w:pPr>
      <w:r>
        <w:t xml:space="preserve">1. Read-only by policy</w:t>
      </w:r>
    </w:p>
    <w:p>
      <w:pPr>
        <w:pStyle w:val="FirstParagraph"/>
      </w:pPr>
      <w:r>
        <w:t xml:space="preserve">Every assessment operation is constrained to read-only Active Directory rights. The service account has exactly the permissions it needs to read — and zero beyond that. No group memberships are changed, no Group Policy Objects are edited, and no password resets are issued. This is enforced at the account level (least-privilege delegation), at the code level (no write cmdlets imported), and at the audit level (every call logged with operation class).</w:t>
      </w:r>
    </w:p>
    <w:p>
      <w:pPr>
        <w:pStyle w:val="BodyText"/>
      </w:pPr>
      <w:r>
        <w:t xml:space="preserve">The practical benefit: because the assessment makes no changes, it usually qualifies for a lighter, standard change process than a write operation would. Whether it needs a change record is the agency’s configuration-management decision. Read-only is not an honor system; it is enforced at the account, code, and audit levels.</w:t>
      </w:r>
    </w:p>
    <w:bookmarkEnd w:id="16"/>
    <w:bookmarkStart w:id="19" w:name="least-privilege-delegation"/>
    <w:p>
      <w:pPr>
        <w:pStyle w:val="Heading3"/>
      </w:pPr>
      <w:r>
        <w:t xml:space="preserve">2. Least-privilege delegation</w:t>
      </w:r>
    </w:p>
    <w:p>
      <w:pPr>
        <w:pStyle w:val="FirstParagraph"/>
      </w:pPr>
      <w:r>
        <w:t xml:space="preserve">The assessment account needs forest-wide read rights to discover the full surface, but it does not need Domain Admin or Enterprise Admin. A properly delegated account achieves substantial coverage with a basic read-only profile and complete coverage with an expanded profile that adds Group Policy read, configuration-container read, DNS/DHCP read, and service-principal-name enumeration.</w:t>
      </w:r>
    </w:p>
    <w:p>
      <w:pPr>
        <w:pStyle w:val="BodyText"/>
      </w:pPr>
      <w:r>
        <w:t xml:space="preserve">Two practical tiers: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Tier A (read-only)</w:t>
      </w:r>
      <w:r>
        <w:t xml:space="preserve"> </w:t>
      </w:r>
      <w:r>
        <w:t xml:space="preserve">— default. Limited Group Policy, certificate-template, and DNS/DHCP visibility without explicit added rights.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Tier B (read + enumerate)</w:t>
      </w:r>
      <w:r>
        <w:t xml:space="preserve"> </w:t>
      </w:r>
      <w:r>
        <w:t xml:space="preserve">— adds Group Policy read, certificate-template read, DNS/DHCP read, and Kerberos service-principal-name enumeration.</w:t>
      </w:r>
      <w:r>
        <w:rPr>
          <w:rStyle w:val="FootnoteReference"/>
        </w:rPr>
        <w:footnoteReference w:id="17"/>
      </w:r>
    </w:p>
    <w:p>
      <w:pPr>
        <w:pStyle w:val="FirstParagraph"/>
      </w:pPr>
      <w:r>
        <w:t xml:space="preserve">The tier is a governance decision. A common pattern is Tier B for the initial full assessment and Tier A for the continuous re-assessment cadence.</w:t>
      </w:r>
    </w:p>
    <w:bookmarkEnd w:id="19"/>
    <w:bookmarkStart w:id="20" w:name="provenance-bound-output"/>
    <w:p>
      <w:pPr>
        <w:pStyle w:val="Heading3"/>
      </w:pPr>
      <w:r>
        <w:t xml:space="preserve">3. Provenance-bound output</w:t>
      </w:r>
    </w:p>
    <w:p>
      <w:pPr>
        <w:pStyle w:val="FirstParagraph"/>
      </w:pPr>
      <w:r>
        <w:t xml:space="preserve">Every assessment run produces a structured artifact set with required metadata:</w:t>
      </w:r>
    </w:p>
    <w:p>
      <w:pPr>
        <w:pStyle w:val="Compact"/>
        <w:numPr>
          <w:ilvl w:val="0"/>
          <w:numId w:val="1003"/>
        </w:numPr>
      </w:pPr>
      <w:r>
        <w:t xml:space="preserve">Who ran it (service principal or account)</w:t>
      </w:r>
    </w:p>
    <w:p>
      <w:pPr>
        <w:pStyle w:val="Compact"/>
        <w:numPr>
          <w:ilvl w:val="0"/>
          <w:numId w:val="1003"/>
        </w:numPr>
      </w:pPr>
      <w:r>
        <w:t xml:space="preserve">When (UTC timestamp)</w:t>
      </w:r>
    </w:p>
    <w:p>
      <w:pPr>
        <w:pStyle w:val="Compact"/>
        <w:numPr>
          <w:ilvl w:val="0"/>
          <w:numId w:val="1003"/>
        </w:numPr>
      </w:pPr>
      <w:r>
        <w:t xml:space="preserve">Against what (forest DNS name, domain FQDNs, domain controller that served the read)</w:t>
      </w:r>
    </w:p>
    <w:p>
      <w:pPr>
        <w:pStyle w:val="Compact"/>
        <w:numPr>
          <w:ilvl w:val="0"/>
          <w:numId w:val="1003"/>
        </w:numPr>
      </w:pPr>
      <w:r>
        <w:t xml:space="preserve">With what profile (Tier A / Tier B / custom)</w:t>
      </w:r>
    </w:p>
    <w:p>
      <w:pPr>
        <w:pStyle w:val="Compact"/>
        <w:numPr>
          <w:ilvl w:val="0"/>
          <w:numId w:val="1003"/>
        </w:numPr>
      </w:pPr>
      <w:r>
        <w:t xml:space="preserve">Producing what (hash of each output file)</w:t>
      </w:r>
    </w:p>
    <w:p>
      <w:pPr>
        <w:pStyle w:val="Compact"/>
        <w:numPr>
          <w:ilvl w:val="0"/>
          <w:numId w:val="1003"/>
        </w:numPr>
      </w:pPr>
      <w:r>
        <w:t xml:space="preserve">Committed where (repository branch, commit SHA)</w:t>
      </w:r>
    </w:p>
    <w:p>
      <w:pPr>
        <w:pStyle w:val="FirstParagraph"/>
      </w:pPr>
      <w:r>
        <w:t xml:space="preserve">A run without provenance is rejected by the engine.</w:t>
      </w:r>
    </w:p>
    <w:bookmarkEnd w:id="20"/>
    <w:bookmarkEnd w:id="21"/>
    <w:bookmarkStart w:id="33" w:name="the-eleven-ingestion-streams"/>
    <w:p>
      <w:pPr>
        <w:pStyle w:val="Heading2"/>
      </w:pPr>
      <w:r>
        <w:t xml:space="preserve">The eleven ingestion streams</w:t>
      </w:r>
    </w:p>
    <w:p>
      <w:pPr>
        <w:pStyle w:val="FirstParagraph"/>
      </w:pPr>
      <w:r>
        <w:t xml:space="preserve">The assessment layer produces one artifact stream per dependency category, mirroring the eleven types from Chapter 00. Each stream has its own normalized schema and its own committed location.</w:t>
      </w:r>
    </w:p>
    <w:bookmarkStart w:id="22" w:name="stream-1-forest-domain-topology"/>
    <w:p>
      <w:pPr>
        <w:pStyle w:val="Heading3"/>
      </w:pPr>
      <w:r>
        <w:t xml:space="preserve">Stream 1 — Forest + Domain topology</w:t>
      </w:r>
    </w:p>
    <w:p>
      <w:pPr>
        <w:pStyle w:val="FirstParagraph"/>
      </w:pPr>
      <w:r>
        <w:t xml:space="preserve">Captures forest functional level, domain trust relationships, site topology, domain-controller role assignments, replication intervals, FSMO holders, DNS integration mode, and related schema levels. Feeds identity strategy and migration-roadmap cutover gates.</w:t>
      </w:r>
    </w:p>
    <w:bookmarkEnd w:id="22"/>
    <w:bookmarkStart w:id="23" w:name="stream-2-organizational-unit-hierarchy"/>
    <w:p>
      <w:pPr>
        <w:pStyle w:val="Heading3"/>
      </w:pPr>
      <w:r>
        <w:t xml:space="preserve">Stream 2 — Organizational-unit hierarchy</w:t>
      </w:r>
    </w:p>
    <w:p>
      <w:pPr>
        <w:pStyle w:val="FirstParagraph"/>
      </w:pPr>
      <w:r>
        <w:t xml:space="preserve">Captures every organizational unit, full distinguished name, parent-child relationships, linked Group Policy Objects, delegation access-control lists (if Tier B), and user + computer counts. Feeds attribute mapping and policy-linkage mapping.</w:t>
      </w:r>
    </w:p>
    <w:bookmarkEnd w:id="23"/>
    <w:bookmarkStart w:id="24" w:name="stream-3-users"/>
    <w:p>
      <w:pPr>
        <w:pStyle w:val="Heading3"/>
      </w:pPr>
      <w:r>
        <w:t xml:space="preserve">Stream 3 — Users</w:t>
      </w:r>
    </w:p>
    <w:p>
      <w:pPr>
        <w:pStyle w:val="FirstParagraph"/>
      </w:pPr>
      <w:r>
        <w:t xml:space="preserve">Captures every user object — UPN, samAccountName, distinguished name, enabled state, password last-set, last-logon, manager, group memberships, extension attributes, mail, employee identifier, department, office location, and (if populated) HR-system-sourced attributes. Feeds user migration and attribute-mapping plans. Production exports may redact identifiers according to data-handling rules.</w:t>
      </w:r>
    </w:p>
    <w:bookmarkEnd w:id="24"/>
    <w:bookmarkStart w:id="25" w:name="stream-4-computers"/>
    <w:p>
      <w:pPr>
        <w:pStyle w:val="Heading3"/>
      </w:pPr>
      <w:r>
        <w:t xml:space="preserve">Stream 4 — Computers</w:t>
      </w:r>
    </w:p>
    <w:p>
      <w:pPr>
        <w:pStyle w:val="FirstParagraph"/>
      </w:pPr>
      <w:r>
        <w:t xml:space="preserve">Captures every computer object — distinguished name, DNS hostname, operating system, version, last password-set, service principal names, last-logon timestamp, trusted-for-delegation state, and supported encryption types. Feeds compute migration and risk scoring for stale or unconstrained-delegation hosts.</w:t>
      </w:r>
    </w:p>
    <w:bookmarkEnd w:id="25"/>
    <w:bookmarkStart w:id="26" w:name="Xbd9cca1b7d515f8007fa96243bfcccc33f215cb"/>
    <w:p>
      <w:pPr>
        <w:pStyle w:val="Heading3"/>
      </w:pPr>
      <w:r>
        <w:t xml:space="preserve">Stream 5 — Service accounts + service principal names</w:t>
      </w:r>
    </w:p>
    <w:p>
      <w:pPr>
        <w:pStyle w:val="FirstParagraph"/>
      </w:pPr>
      <w:r>
        <w:t xml:space="preserve">Captures all accounts with populated servicePrincipalName values, grouped by likely application boundary; delegation targets; group managed service account status; and password-last-set gaps that indicate stale credentials. Feeds compute and application migration (Kerberos-bound applications need modern application-registration equivalents or a documented Kerberos island).</w:t>
      </w:r>
    </w:p>
    <w:bookmarkEnd w:id="26"/>
    <w:bookmarkStart w:id="27" w:name="X6b0a0319f004f3ac26d499d9a1b6e37d6fb1a53"/>
    <w:p>
      <w:pPr>
        <w:pStyle w:val="Heading3"/>
      </w:pPr>
      <w:r>
        <w:t xml:space="preserve">Stream 6 — Security and distribution groups</w:t>
      </w:r>
    </w:p>
    <w:p>
      <w:pPr>
        <w:pStyle w:val="FirstParagraph"/>
      </w:pPr>
      <w:r>
        <w:t xml:space="preserve">Captures every group — distinguished name, samAccountName, group scope, type, members, member-of, and whether membership is static or rule-based. Feeds dynamic-group authoring from attribute rules.</w:t>
      </w:r>
    </w:p>
    <w:bookmarkEnd w:id="27"/>
    <w:bookmarkStart w:id="28" w:name="stream-7-group-policy-objects-tier-b"/>
    <w:p>
      <w:pPr>
        <w:pStyle w:val="Heading3"/>
      </w:pPr>
      <w:r>
        <w:t xml:space="preserve">Stream 7 — Group Policy Objects (Tier B)</w:t>
      </w:r>
    </w:p>
    <w:p>
      <w:pPr>
        <w:pStyle w:val="FirstParagraph"/>
      </w:pPr>
      <w:r>
        <w:t xml:space="preserve">Captures every Group Policy Object — display name, GUID, link targets, security filtering, WMI filters, enabled state, Computer and User configuration settings (full export), and date of last modification per section. Feeds Group Policy to device-management mapping. This is typically the highest-complexity stream.</w:t>
      </w:r>
    </w:p>
    <w:bookmarkEnd w:id="28"/>
    <w:bookmarkStart w:id="29" w:name="stream-8-dns-zones-records-tier-b"/>
    <w:p>
      <w:pPr>
        <w:pStyle w:val="Heading3"/>
      </w:pPr>
      <w:r>
        <w:t xml:space="preserve">Stream 8 — DNS zones + records (Tier B)</w:t>
      </w:r>
    </w:p>
    <w:p>
      <w:pPr>
        <w:pStyle w:val="FirstParagraph"/>
      </w:pPr>
      <w:r>
        <w:t xml:space="preserve">Captures all Active Directory-integrated DNS zones, non-integrated zones hosted on domain controllers, conditional forwarders, recursion settings, per-record TTL and last-update, and stale records whose owning computer object has aged out. Feeds services transformation.</w:t>
      </w:r>
    </w:p>
    <w:bookmarkEnd w:id="29"/>
    <w:bookmarkStart w:id="30" w:name="stream-9-dhcp-scopes-reservations-tier-b"/>
    <w:p>
      <w:pPr>
        <w:pStyle w:val="Heading3"/>
      </w:pPr>
      <w:r>
        <w:t xml:space="preserve">Stream 9 — DHCP scopes + reservations (Tier B)</w:t>
      </w:r>
    </w:p>
    <w:p>
      <w:pPr>
        <w:pStyle w:val="FirstParagraph"/>
      </w:pPr>
      <w:r>
        <w:t xml:space="preserve">Captures all DHCP servers, scopes, reservations, option sets, and failover relationships. Feeds services transformation.</w:t>
      </w:r>
    </w:p>
    <w:bookmarkEnd w:id="30"/>
    <w:bookmarkStart w:id="31" w:name="Xec694fc2d08e7040242194183d4003e3a41a8ea"/>
    <w:p>
      <w:pPr>
        <w:pStyle w:val="Heading3"/>
      </w:pPr>
      <w:r>
        <w:t xml:space="preserve">Stream 10 — Certificate services / PKI (Tier B; highest sensitivity)</w:t>
      </w:r>
    </w:p>
    <w:p>
      <w:pPr>
        <w:pStyle w:val="FirstParagraph"/>
      </w:pPr>
      <w:r>
        <w:t xml:space="preserve">Captures all certificate authorities in the forest (root and issuing), published certificate templates, template permissions (including privilege-escalation patterns), issued certificates matching high-value enhanced key usages, and CRL distribution health. Feeds certificate-based authentication migration and compliance findings.</w:t>
      </w:r>
    </w:p>
    <w:bookmarkEnd w:id="31"/>
    <w:bookmarkStart w:id="32" w:name="Xbb4433792d53ec3e41c1fedf9593616fd0b9c02"/>
    <w:p>
      <w:pPr>
        <w:pStyle w:val="Heading3"/>
      </w:pPr>
      <w:r>
        <w:t xml:space="preserve">Stream 11 — LDAP bindings + Kerberos service-principal-name map</w:t>
      </w:r>
    </w:p>
    <w:p>
      <w:pPr>
        <w:pStyle w:val="FirstParagraph"/>
      </w:pPr>
      <w:r>
        <w:t xml:space="preserve">Captures every application that binds via LDAP/LDAPS or uses Kerberos service-principal-name-based authentication. Discovered via analysis of computer accounts, servicePrincipalName patterns, and (where available) application-server configuration. In practice, often a major source of modernization blockers.</w:t>
      </w:r>
    </w:p>
    <w:bookmarkEnd w:id="32"/>
    <w:bookmarkEnd w:id="33"/>
    <w:bookmarkStart w:id="34" w:name="python-augmentation"/>
    <w:p>
      <w:pPr>
        <w:pStyle w:val="Heading2"/>
      </w:pPr>
      <w:r>
        <w:t xml:space="preserve">Python augmentation</w:t>
      </w:r>
    </w:p>
    <w:p>
      <w:pPr>
        <w:pStyle w:val="FirstParagraph"/>
      </w:pPr>
      <w:r>
        <w:t xml:space="preserve">PowerShell is excellent at Active Directory reads; it is less excellent at graph analysis. Every stream that produces relational data (organizational-unit hierarchy, Group Policy link graph, service-principal-name-to-application map, trust-relationship graph) is post-processed by a Python analyzer that produces: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Dependency graphs</w:t>
      </w:r>
      <w:r>
        <w:t xml:space="preserve"> </w:t>
      </w:r>
      <w:r>
        <w:t xml:space="preserve">— which organizational units inherit which Group Policy Objects; which applications depend on which service principal names.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Risk scores</w:t>
      </w:r>
      <w:r>
        <w:t xml:space="preserve"> </w:t>
      </w:r>
      <w:r>
        <w:t xml:space="preserve">— stale accounts, over-privileged delegation, privilege-escalation exposures.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Gap analysis reports</w:t>
      </w:r>
      <w:r>
        <w:t xml:space="preserve"> </w:t>
      </w:r>
      <w:r>
        <w:t xml:space="preserve">— organizational units with no linked Group Policy Objects, Group Policy Objects with no enabled settings, groups with zero members, computers that have not logged on within a stale threshold (for example, 90 days).</w:t>
      </w:r>
    </w:p>
    <w:p>
      <w:pPr>
        <w:pStyle w:val="FirstParagraph"/>
      </w:pPr>
      <w:r>
        <w:t xml:space="preserve">Python output lands in an analysis subfolder as JSON and Markdown reports consumable by both the engine and a human reviewer.</w:t>
      </w:r>
    </w:p>
    <w:bookmarkEnd w:id="34"/>
    <w:bookmarkStart w:id="35" w:name="output-format-one-artifact-set-per-run"/>
    <w:p>
      <w:pPr>
        <w:pStyle w:val="Heading2"/>
      </w:pPr>
      <w:r>
        <w:t xml:space="preserve">Output format: one artifact set per run</w:t>
      </w:r>
    </w:p>
    <w:p>
      <w:pPr>
        <w:pStyle w:val="FirstParagraph"/>
      </w:pPr>
      <w:r>
        <w:t xml:space="preserve">Every assessment run produces the same folder layout, committed under</w:t>
      </w:r>
      <w:r>
        <w:t xml:space="preserve"> </w:t>
      </w:r>
      <w:r>
        <w:rPr>
          <w:rStyle w:val="VerbatimChar"/>
        </w:rPr>
        <w:t xml:space="preserve">assessments/&lt;run-id&gt;/</w:t>
      </w:r>
      <w:r>
        <w:t xml:space="preserve">. The run identifier is</w:t>
      </w:r>
      <w:r>
        <w:t xml:space="preserve"> </w:t>
      </w:r>
      <w:r>
        <w:rPr>
          <w:rStyle w:val="VerbatimChar"/>
        </w:rPr>
        <w:t xml:space="preserve">YYYY-MM-DD-HHmm-&lt;host&gt;-&lt;tier&gt;</w:t>
      </w:r>
      <w:r>
        <w:t xml:space="preserve"> </w:t>
      </w:r>
      <w:r>
        <w:t xml:space="preserve">(UTC).</w:t>
      </w:r>
    </w:p>
    <w:p>
      <w:pPr>
        <w:pStyle w:val="SourceCode"/>
      </w:pPr>
      <w:r>
        <w:rPr>
          <w:rStyle w:val="VerbatimChar"/>
        </w:rPr>
        <w:t xml:space="preserve">assessments/</w:t>
      </w:r>
      <w:r>
        <w:br/>
      </w:r>
      <w:r>
        <w:rPr>
          <w:rStyle w:val="VerbatimChar"/>
        </w:rPr>
        <w:t xml:space="preserve">└── 2026-04-24-1030-host-tierB/</w:t>
      </w:r>
      <w:r>
        <w:br/>
      </w:r>
      <w:r>
        <w:rPr>
          <w:rStyle w:val="VerbatimChar"/>
        </w:rPr>
        <w:t xml:space="preserve">    ├── provenance.yaml              ← who/what/when/hash</w:t>
      </w:r>
      <w:r>
        <w:br/>
      </w:r>
      <w:r>
        <w:rPr>
          <w:rStyle w:val="VerbatimChar"/>
        </w:rPr>
        <w:t xml:space="preserve">    ├── forest-topology.json</w:t>
      </w:r>
      <w:r>
        <w:br/>
      </w:r>
      <w:r>
        <w:rPr>
          <w:rStyle w:val="VerbatimChar"/>
        </w:rPr>
        <w:t xml:space="preserve">    ├── ou-hierarchy.json</w:t>
      </w:r>
      <w:r>
        <w:br/>
      </w:r>
      <w:r>
        <w:rPr>
          <w:rStyle w:val="VerbatimChar"/>
        </w:rPr>
        <w:t xml:space="preserve">    ├── users.jsonl</w:t>
      </w:r>
      <w:r>
        <w:br/>
      </w:r>
      <w:r>
        <w:rPr>
          <w:rStyle w:val="VerbatimChar"/>
        </w:rPr>
        <w:t xml:space="preserve">    ├── computers.jsonl</w:t>
      </w:r>
      <w:r>
        <w:br/>
      </w:r>
      <w:r>
        <w:rPr>
          <w:rStyle w:val="VerbatimChar"/>
        </w:rPr>
        <w:t xml:space="preserve">    ├── spn-inventory.json</w:t>
      </w:r>
      <w:r>
        <w:br/>
      </w:r>
      <w:r>
        <w:rPr>
          <w:rStyle w:val="VerbatimChar"/>
        </w:rPr>
        <w:t xml:space="preserve">    ├── groups.jsonl</w:t>
      </w:r>
      <w:r>
        <w:br/>
      </w:r>
      <w:r>
        <w:rPr>
          <w:rStyle w:val="VerbatimChar"/>
        </w:rPr>
        <w:t xml:space="preserve">    ├── gpos/</w:t>
      </w:r>
      <w:r>
        <w:br/>
      </w:r>
      <w:r>
        <w:rPr>
          <w:rStyle w:val="VerbatimChar"/>
        </w:rPr>
        <w:t xml:space="preserve">    │   ├── gpo-index.json</w:t>
      </w:r>
      <w:r>
        <w:br/>
      </w:r>
      <w:r>
        <w:rPr>
          <w:rStyle w:val="VerbatimChar"/>
        </w:rPr>
        <w:t xml:space="preserve">    │   └── {guid}.xml</w:t>
      </w:r>
      <w:r>
        <w:br/>
      </w:r>
      <w:r>
        <w:rPr>
          <w:rStyle w:val="VerbatimChar"/>
        </w:rPr>
        <w:t xml:space="preserve">    ├── dns-zones.json</w:t>
      </w:r>
      <w:r>
        <w:br/>
      </w:r>
      <w:r>
        <w:rPr>
          <w:rStyle w:val="VerbatimChar"/>
        </w:rPr>
        <w:t xml:space="preserve">    ├── dns-records.jsonl</w:t>
      </w:r>
      <w:r>
        <w:br/>
      </w:r>
      <w:r>
        <w:rPr>
          <w:rStyle w:val="VerbatimChar"/>
        </w:rPr>
        <w:t xml:space="preserve">    ├── dhcp-scopes.json</w:t>
      </w:r>
      <w:r>
        <w:br/>
      </w:r>
      <w:r>
        <w:rPr>
          <w:rStyle w:val="VerbatimChar"/>
        </w:rPr>
        <w:t xml:space="preserve">    ├── adcs/</w:t>
      </w:r>
      <w:r>
        <w:br/>
      </w:r>
      <w:r>
        <w:rPr>
          <w:rStyle w:val="VerbatimChar"/>
        </w:rPr>
        <w:t xml:space="preserve">    ├── ldap-bindings.jsonl</w:t>
      </w:r>
      <w:r>
        <w:br/>
      </w:r>
      <w:r>
        <w:rPr>
          <w:rStyle w:val="VerbatimChar"/>
        </w:rPr>
        <w:t xml:space="preserve">    ├── kerberos-spn-map.json</w:t>
      </w:r>
      <w:r>
        <w:br/>
      </w:r>
      <w:r>
        <w:rPr>
          <w:rStyle w:val="VerbatimChar"/>
        </w:rPr>
        <w:t xml:space="preserve">    └── analysis/</w:t>
      </w:r>
      <w:r>
        <w:br/>
      </w:r>
      <w:r>
        <w:rPr>
          <w:rStyle w:val="VerbatimChar"/>
        </w:rPr>
        <w:t xml:space="preserve">        ├── attribute-mapping.md</w:t>
      </w:r>
      <w:r>
        <w:br/>
      </w:r>
      <w:r>
        <w:rPr>
          <w:rStyle w:val="VerbatimChar"/>
        </w:rPr>
        <w:t xml:space="preserve">        ├── risk-scorecard.md</w:t>
      </w:r>
      <w:r>
        <w:br/>
      </w:r>
      <w:r>
        <w:rPr>
          <w:rStyle w:val="VerbatimChar"/>
        </w:rPr>
        <w:t xml:space="preserve">        ├── dependency-graph.json</w:t>
      </w:r>
      <w:r>
        <w:br/>
      </w:r>
      <w:r>
        <w:rPr>
          <w:rStyle w:val="VerbatimChar"/>
        </w:rPr>
        <w:t xml:space="preserve">        └── gap-findings.md</w:t>
      </w:r>
    </w:p>
    <w:p>
      <w:pPr>
        <w:pStyle w:val="FirstParagraph"/>
      </w:pPr>
      <w:r>
        <w:t xml:space="preserve">Every commit of this folder is signed and attributable. No assessment artifact lives outside the repository; no assessment run executes twice with the same run identifier.</w:t>
      </w:r>
    </w:p>
    <w:bookmarkEnd w:id="35"/>
    <w:bookmarkStart w:id="36" w:name="what-happens-next"/>
    <w:p>
      <w:pPr>
        <w:pStyle w:val="Heading2"/>
      </w:pPr>
      <w:r>
        <w:t xml:space="preserve">What happens next</w:t>
      </w:r>
    </w:p>
    <w:p>
      <w:pPr>
        <w:pStyle w:val="FirstParagraph"/>
      </w:pPr>
      <w:r>
        <w:t xml:space="preserve">The output of this chapter is the input to the next. The transformation engine takes the assessment folder, runs it through the plan generator, and produces a matched plan folder of deterministic transformation actions. The plan is reviewed, authorized, and then dispatched for delivery.</w:t>
      </w:r>
    </w:p>
    <w:p>
      <w:pPr>
        <w:pStyle w:val="BodyText"/>
      </w:pPr>
      <w:r>
        <w:t xml:space="preserve">Assessment and planning are deliberately separate steps. An assessment without a plan is a report; a plan without an assessment is a guess. Only together do they produce governed modernization.</w:t>
      </w:r>
    </w:p>
    <w:bookmarkEnd w:id="36"/>
    <w:bookmarkStart w:id="37" w:name="key-takeaways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05"/>
        </w:numPr>
      </w:pPr>
      <w:r>
        <w:t xml:space="preserve">Nothing is retired until it has been inventoried, read-only, across all eleven categories.</w:t>
      </w:r>
    </w:p>
    <w:p>
      <w:pPr>
        <w:pStyle w:val="Compact"/>
        <w:numPr>
          <w:ilvl w:val="0"/>
          <w:numId w:val="1005"/>
        </w:numPr>
      </w:pPr>
      <w:r>
        <w:t xml:space="preserve">Every assessment run carries provenance: who, when, against what, with which rights.</w:t>
      </w:r>
    </w:p>
    <w:p>
      <w:pPr>
        <w:pStyle w:val="Compact"/>
        <w:numPr>
          <w:ilvl w:val="0"/>
          <w:numId w:val="1005"/>
        </w:numPr>
      </w:pPr>
      <w:r>
        <w:t xml:space="preserve">The assessment output is the only input the planning step accepts.</w:t>
      </w:r>
    </w:p>
    <w:bookmarkEnd w:id="37"/>
    <w:bookmarkStart w:id="40" w:name="authoritative-references"/>
    <w:p>
      <w:pPr>
        <w:pStyle w:val="Heading2"/>
      </w:pPr>
      <w:r>
        <w:t xml:space="preserve">Authoritative references</w:t>
      </w:r>
    </w:p>
    <w:p>
      <w:pPr>
        <w:pStyle w:val="Compact"/>
        <w:numPr>
          <w:ilvl w:val="0"/>
          <w:numId w:val="1006"/>
        </w:numPr>
      </w:pPr>
      <w:r>
        <w:t xml:space="preserve">Microsoft Learn,</w:t>
      </w:r>
      <w:r>
        <w:t xml:space="preserve"> </w:t>
      </w:r>
      <w:hyperlink r:id="rId14">
        <w:r>
          <w:rPr>
            <w:rStyle w:val="Hyperlink"/>
          </w:rPr>
          <w:t xml:space="preserve">What is the Certification Authority Role Service in Windows Server?</w:t>
        </w:r>
      </w:hyperlink>
    </w:p>
    <w:p>
      <w:pPr>
        <w:pStyle w:val="Compact"/>
        <w:numPr>
          <w:ilvl w:val="0"/>
          <w:numId w:val="1006"/>
        </w:numPr>
      </w:pPr>
      <w:r>
        <w:t xml:space="preserve">Microsoft Learn,</w:t>
      </w:r>
      <w:r>
        <w:t xml:space="preserve"> </w:t>
      </w:r>
      <w:hyperlink r:id="rId18">
        <w:r>
          <w:rPr>
            <w:rStyle w:val="Hyperlink"/>
          </w:rPr>
          <w:t xml:space="preserve">Introduction to Active Directory service accounts - Microsoft Entra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Previous:</w:t>
      </w:r>
      <w:r>
        <w:t xml:space="preserve"> </w:t>
      </w:r>
      <w:hyperlink r:id="rId38">
        <w:r>
          <w:rPr>
            <w:rStyle w:val="Hyperlink"/>
          </w:rPr>
          <w:t xml:space="preserve">Chapter 01 — Platform Foundation</w:t>
        </w:r>
      </w:hyperlink>
      <w:r>
        <w:br/>
      </w:r>
      <w:r>
        <w:rPr>
          <w:b/>
          <w:bCs/>
        </w:rPr>
        <w:t xml:space="preserve">Next:</w:t>
      </w:r>
      <w:r>
        <w:t xml:space="preserve"> </w:t>
      </w:r>
      <w:hyperlink r:id="rId39">
        <w:r>
          <w:rPr>
            <w:rStyle w:val="Hyperlink"/>
          </w:rPr>
          <w:t xml:space="preserve">Chapter 03 — Analysis → Plan → Delivery</w:t>
        </w:r>
      </w:hyperlink>
    </w:p>
    <w:bookmarkEnd w:id="40"/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What is the Certification Authority Role Service in Windows Server?</w:t>
      </w:r>
      <w:r>
        <w:t xml:space="preserve">. Enterprise CAs use AD DS data and certificate templates to decide whether to issue; template permissions therefore determine who can obtain which certificates.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https://learn.microsoft.com/en-us/windows-server/identity/ad-cs/certification-authority-role</w:t>
        </w:r>
      </w:hyperlink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Introduction to Active Directory service accounts - Microsoft Entra</w:t>
      </w:r>
      <w:r>
        <w:t xml:space="preserve">.</w:t>
      </w:r>
      <w:r>
        <w:t xml:space="preserve"> </w:t>
      </w:r>
      <w:hyperlink r:id="rId18">
        <w:r>
          <w:rPr>
            <w:rStyle w:val="Hyperlink"/>
          </w:rPr>
          <w:t xml:space="preserve">https://learn.microsoft.com/en-us/entra/architecture/service-accounts-on-premises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svg" /><Relationship Type="http://schemas.openxmlformats.org/officeDocument/2006/relationships/hyperlink" Id="rId38" Target="01-platform-foundation.md" TargetMode="External" /><Relationship Type="http://schemas.openxmlformats.org/officeDocument/2006/relationships/hyperlink" Id="rId39" Target="03-analysis-plan-delivery.md" TargetMode="External" /><Relationship Type="http://schemas.openxmlformats.org/officeDocument/2006/relationships/hyperlink" Id="rId18" Target="https://learn.microsoft.com/en-us/entra/architecture/service-accounts-on-premises" TargetMode="External" /><Relationship Type="http://schemas.openxmlformats.org/officeDocument/2006/relationships/hyperlink" Id="rId14" Target="https://learn.microsoft.com/en-us/windows-server/identity/ad-cs/certification-authority-ro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01-platform-foundation.md" TargetMode="External" /><Relationship Type="http://schemas.openxmlformats.org/officeDocument/2006/relationships/hyperlink" Id="rId39" Target="03-analysis-plan-delivery.md" TargetMode="External" /><Relationship Type="http://schemas.openxmlformats.org/officeDocument/2006/relationships/hyperlink" Id="rId18" Target="https://learn.microsoft.com/en-us/entra/architecture/service-accounts-on-premises" TargetMode="External" /><Relationship Type="http://schemas.openxmlformats.org/officeDocument/2006/relationships/hyperlink" Id="rId14" Target="https://learn.microsoft.com/en-us/windows-server/identity/ad-cs/certification-authority-ro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2026-10-19T10:09:36Z</dcterms:created>
  <dcterms:modified xsi:type="dcterms:W3CDTF">2026-10-19T10:09:36Z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